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472" w:firstLineChars="147"/>
        <w:jc w:val="center"/>
        <w:rPr>
          <w:rFonts w:asciiTheme="minorEastAsia" w:hAnsiTheme="minorEastAsia" w:eastAsiaTheme="minorEastAsia"/>
          <w:b/>
          <w:sz w:val="32"/>
          <w:szCs w:val="32"/>
        </w:rPr>
      </w:pPr>
      <w:r>
        <w:rPr>
          <w:rFonts w:hint="eastAsia" w:asciiTheme="minorEastAsia" w:hAnsiTheme="minorEastAsia" w:eastAsiaTheme="minorEastAsia"/>
          <w:b/>
          <w:kern w:val="0"/>
          <w:sz w:val="32"/>
          <w:szCs w:val="32"/>
        </w:rPr>
        <w:t>绍兴恒信</w:t>
      </w:r>
      <w:r>
        <w:rPr>
          <w:rFonts w:hint="eastAsia" w:asciiTheme="minorEastAsia" w:hAnsiTheme="minorEastAsia" w:eastAsiaTheme="minorEastAsia"/>
          <w:b/>
          <w:kern w:val="0"/>
          <w:sz w:val="32"/>
          <w:szCs w:val="32"/>
          <w:lang w:eastAsia="zh-CN"/>
        </w:rPr>
        <w:t>农商</w:t>
      </w:r>
      <w:r>
        <w:rPr>
          <w:rFonts w:hint="eastAsia" w:asciiTheme="minorEastAsia" w:hAnsiTheme="minorEastAsia" w:eastAsiaTheme="minorEastAsia"/>
          <w:b/>
          <w:kern w:val="0"/>
          <w:sz w:val="32"/>
          <w:szCs w:val="32"/>
        </w:rPr>
        <w:t>银行</w:t>
      </w:r>
      <w:r>
        <w:rPr>
          <w:rFonts w:hint="eastAsia" w:cs="STKaiti,Bold" w:asciiTheme="minorEastAsia" w:hAnsiTheme="minorEastAsia" w:eastAsiaTheme="minorEastAsia"/>
          <w:b/>
          <w:bCs/>
          <w:kern w:val="0"/>
          <w:sz w:val="32"/>
          <w:szCs w:val="32"/>
        </w:rPr>
        <w:t>“丰收·信福”</w:t>
      </w:r>
    </w:p>
    <w:p>
      <w:pPr>
        <w:tabs>
          <w:tab w:val="left" w:pos="0"/>
        </w:tabs>
        <w:ind w:firstLine="472" w:firstLineChars="147"/>
        <w:jc w:val="center"/>
        <w:rPr>
          <w:rFonts w:cs="STKaiti,Bold" w:asciiTheme="minorEastAsia" w:hAnsiTheme="minorEastAsia" w:eastAsiaTheme="minorEastAsia"/>
          <w:b/>
          <w:bCs/>
          <w:kern w:val="0"/>
          <w:sz w:val="32"/>
          <w:szCs w:val="32"/>
        </w:rPr>
      </w:pPr>
      <w:r>
        <w:rPr>
          <w:rFonts w:hint="eastAsia" w:cs="STKaiti,Bold" w:asciiTheme="minorEastAsia" w:hAnsiTheme="minorEastAsia" w:eastAsiaTheme="minorEastAsia"/>
          <w:b/>
          <w:bCs/>
          <w:kern w:val="0"/>
          <w:sz w:val="32"/>
          <w:szCs w:val="32"/>
          <w:lang w:eastAsia="zh-CN"/>
        </w:rPr>
        <w:t>2023年第七期</w:t>
      </w:r>
      <w:r>
        <w:rPr>
          <w:rFonts w:hint="eastAsia" w:cs="STKaiti,Bold" w:asciiTheme="minorEastAsia" w:hAnsiTheme="minorEastAsia" w:eastAsiaTheme="minorEastAsia"/>
          <w:b/>
          <w:bCs/>
          <w:kern w:val="0"/>
          <w:sz w:val="32"/>
          <w:szCs w:val="32"/>
        </w:rPr>
        <w:t>封闭净值型理财产品说明书</w:t>
      </w:r>
    </w:p>
    <w:p>
      <w:pPr>
        <w:topLinePunct/>
        <w:snapToGrid w:val="0"/>
        <w:rPr>
          <w:rFonts w:ascii="黑体" w:hAnsi="华文楷体"/>
          <w:b/>
          <w:color w:val="000000"/>
          <w:sz w:val="18"/>
        </w:rPr>
      </w:pPr>
      <w:r>
        <w:rPr>
          <w:rFonts w:hint="eastAsia" w:ascii="黑体" w:hAnsi="华文楷体"/>
          <w:b/>
          <w:color w:val="000000"/>
          <w:sz w:val="18"/>
        </w:rPr>
        <w:t>重要提示：</w:t>
      </w:r>
    </w:p>
    <w:p>
      <w:pPr>
        <w:topLinePunct/>
        <w:snapToGrid w:val="0"/>
        <w:rPr>
          <w:rFonts w:asciiTheme="minorEastAsia" w:hAnsiTheme="minorEastAsia" w:eastAsiaTheme="minorEastAsia"/>
          <w:b/>
          <w:sz w:val="30"/>
          <w:szCs w:val="30"/>
        </w:rPr>
      </w:pP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理财非存款、产品有风险、投资需谨慎；</w:t>
      </w:r>
      <w:r>
        <w:rPr>
          <w:rFonts w:hint="eastAsia" w:ascii="黑体" w:hAnsi="华文细黑" w:eastAsia="黑体" w:cs="STKaiti,Bold"/>
          <w:bCs/>
          <w:color w:val="000000"/>
          <w:kern w:val="0"/>
          <w:sz w:val="18"/>
          <w:szCs w:val="18"/>
          <w:lang w:eastAsia="zh-CN"/>
        </w:rPr>
        <w:t>业绩比较基准不代表理财产品未来表现，不等于理财产品实际收益率，不作为产品收益的业绩保证。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前，投资者应确保自己完全明白该项投资的性质和所涉及的风险，详细了解和审慎评估该理财产品的资金投资方向、风险类型及收益等基本情况，在慎重考虑后自行决定购买与自身风险承受能力和资产管理需求匹配的理财产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本理财产品为非保本浮动收益型产品。理财产品相关的投资风险由投资者承担，相关的投资收益由投资者获得。浙江绍兴恒信农村</w:t>
      </w:r>
      <w:r>
        <w:rPr>
          <w:rFonts w:hint="eastAsia" w:ascii="黑体" w:hAnsi="华文细黑" w:eastAsia="黑体" w:cs="STKaiti,Bold"/>
          <w:bCs/>
          <w:color w:val="000000"/>
          <w:kern w:val="0"/>
          <w:sz w:val="18"/>
          <w:szCs w:val="18"/>
          <w:lang w:eastAsia="zh-CN"/>
        </w:rPr>
        <w:t>商业</w:t>
      </w:r>
      <w:r>
        <w:rPr>
          <w:rFonts w:hint="eastAsia" w:ascii="黑体" w:hAnsi="华文细黑" w:eastAsia="黑体" w:cs="STKaiti,Bold"/>
          <w:bCs/>
          <w:color w:val="000000"/>
          <w:kern w:val="0"/>
          <w:sz w:val="18"/>
          <w:szCs w:val="18"/>
        </w:rPr>
        <w:t>银行</w:t>
      </w:r>
      <w:r>
        <w:rPr>
          <w:rFonts w:hint="eastAsia" w:ascii="黑体" w:hAnsi="华文细黑" w:eastAsia="黑体" w:cs="STKaiti,Bold"/>
          <w:bCs/>
          <w:color w:val="000000"/>
          <w:kern w:val="0"/>
          <w:sz w:val="18"/>
          <w:szCs w:val="18"/>
          <w:lang w:eastAsia="zh-CN"/>
        </w:rPr>
        <w:t>股份有限公司（以下简称恒信农商银行）</w:t>
      </w:r>
      <w:r>
        <w:rPr>
          <w:rFonts w:hint="eastAsia" w:ascii="黑体" w:hAnsi="华文细黑" w:eastAsia="黑体" w:cs="STKaiti,Bold"/>
          <w:bCs/>
          <w:color w:val="000000"/>
          <w:kern w:val="0"/>
          <w:sz w:val="18"/>
          <w:szCs w:val="18"/>
        </w:rPr>
        <w:t>对本理财产品的本金和收益不提供保证承诺。在发生最不利情况下，投资者可能无法取得收益，并可能面临损失本金的风险。投资者在认购本理财产品前应认真阅读本理财产品说明书；</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本理财产品说明书中对本理财产品的测算收益不等于实际收益，投资须谨慎；</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主要风险列示：市场风险、信用风险等；</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在购买理财产品后，投资者应随时关注该理财产品的信息披露情况，及时获取相关信息；</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投资者在认购本产品前应认真阅读本产品说明书。</w:t>
      </w:r>
    </w:p>
    <w:p>
      <w:pPr>
        <w:numPr>
          <w:ilvl w:val="0"/>
          <w:numId w:val="1"/>
        </w:numPr>
        <w:tabs>
          <w:tab w:val="left" w:pos="709"/>
          <w:tab w:val="clear" w:pos="1271"/>
        </w:tabs>
        <w:ind w:left="708" w:hanging="442"/>
        <w:rPr>
          <w:rFonts w:hint="eastAsia"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本理财产品可能会投资于资产管理产品，在赎回资产管理产品时，资产管理产品可能会计提业绩报酬，上述费用的计提时将会扣减资产管理产品的资产净值，从而造成赎回到期时可获得收益下降。</w:t>
      </w:r>
    </w:p>
    <w:p>
      <w:pPr>
        <w:topLinePunct/>
        <w:snapToGrid w:val="0"/>
        <w:rPr>
          <w:rFonts w:ascii="黑体" w:hAnsi="华文楷体" w:eastAsia="黑体" w:cs="Arial Unicode MS"/>
          <w:b/>
          <w:color w:val="000000"/>
          <w:sz w:val="18"/>
          <w:szCs w:val="18"/>
        </w:rPr>
      </w:pPr>
      <w:r>
        <w:rPr>
          <w:rFonts w:hint="eastAsia" w:ascii="黑体" w:hAnsi="华文楷体" w:eastAsia="黑体" w:cs="Arial Unicode MS"/>
          <w:b/>
          <w:color w:val="000000"/>
          <w:sz w:val="18"/>
          <w:szCs w:val="18"/>
        </w:rPr>
        <w:t>下面产品风险评级和相关描述，为</w:t>
      </w:r>
      <w:r>
        <w:rPr>
          <w:rFonts w:hint="eastAsia" w:ascii="黑体" w:hAnsi="华文楷体" w:eastAsia="黑体" w:cs="Arial Unicode MS"/>
          <w:b/>
          <w:color w:val="000000"/>
          <w:sz w:val="18"/>
          <w:szCs w:val="18"/>
          <w:lang w:eastAsia="zh-CN"/>
        </w:rPr>
        <w:t>恒信农商银行</w:t>
      </w:r>
      <w:r>
        <w:rPr>
          <w:rFonts w:hint="eastAsia" w:ascii="黑体" w:hAnsi="华文楷体" w:eastAsia="黑体" w:cs="Arial Unicode MS"/>
          <w:b/>
          <w:color w:val="000000"/>
          <w:sz w:val="18"/>
          <w:szCs w:val="18"/>
        </w:rPr>
        <w:t>内部资料，仅供投资者参考：</w:t>
      </w:r>
    </w:p>
    <w:p>
      <w:pPr>
        <w:tabs>
          <w:tab w:val="left" w:pos="0"/>
        </w:tabs>
        <w:ind w:firstLine="264" w:firstLineChars="147"/>
        <w:rPr>
          <w:rFonts w:cs="STKaiti,Bold" w:asciiTheme="minorEastAsia" w:hAnsiTheme="minorEastAsia" w:eastAsiaTheme="minorEastAsia"/>
          <w:bCs/>
          <w:kern w:val="0"/>
          <w:sz w:val="24"/>
          <w:szCs w:val="24"/>
        </w:rPr>
      </w:pPr>
      <w:r>
        <w:rPr>
          <w:rFonts w:hint="eastAsia" w:ascii="黑体" w:hAnsi="华文细黑" w:eastAsia="黑体" w:cs="STKaiti,Bold"/>
          <w:bCs/>
          <w:kern w:val="0"/>
          <w:sz w:val="18"/>
          <w:szCs w:val="18"/>
        </w:rPr>
        <w:t>根据</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内部风险评级标准，本理财产品的风险等级为PR2（中低风险）。该类理财产品的总体风险程度较低，</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不承诺本金保障但本金亏损的概率较低，适合较低收入、投资经验较少、风险偏好较低、风险承受能力较弱的投资者。</w:t>
      </w:r>
    </w:p>
    <w:p>
      <w:pPr>
        <w:spacing w:line="360" w:lineRule="exact"/>
        <w:ind w:left="267"/>
        <w:rPr>
          <w:rFonts w:cs="STKaiti,Bold" w:asciiTheme="minorEastAsia" w:hAnsiTheme="minorEastAsia" w:eastAsiaTheme="minorEastAsia"/>
          <w:bCs/>
          <w:kern w:val="0"/>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1、理财产品基本信息</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产品名称</w:t>
            </w:r>
          </w:p>
        </w:tc>
        <w:tc>
          <w:tcPr>
            <w:tcW w:w="6804" w:type="dxa"/>
            <w:tcBorders>
              <w:top w:val="single" w:color="auto" w:sz="4" w:space="0"/>
              <w:left w:val="single" w:color="auto" w:sz="4" w:space="0"/>
              <w:bottom w:val="single" w:color="auto" w:sz="4" w:space="0"/>
              <w:right w:val="single" w:color="auto" w:sz="4" w:space="0"/>
            </w:tcBorders>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绍兴恒信农</w:t>
            </w:r>
            <w:r>
              <w:rPr>
                <w:rFonts w:hint="eastAsia" w:ascii="仿宋_GB2312" w:hAnsi="宋体" w:eastAsia="仿宋_GB2312" w:cs="楷体_GB2312"/>
                <w:color w:val="000000"/>
                <w:sz w:val="18"/>
                <w:szCs w:val="18"/>
                <w:lang w:eastAsia="zh-CN"/>
              </w:rPr>
              <w:t>商</w:t>
            </w:r>
            <w:r>
              <w:rPr>
                <w:rFonts w:hint="eastAsia" w:ascii="仿宋_GB2312" w:hAnsi="宋体" w:eastAsia="仿宋_GB2312" w:cs="楷体_GB2312"/>
                <w:color w:val="000000"/>
                <w:sz w:val="18"/>
                <w:szCs w:val="18"/>
              </w:rPr>
              <w:t xml:space="preserve">银行“丰收·信福” </w:t>
            </w:r>
            <w:r>
              <w:rPr>
                <w:rFonts w:hint="eastAsia" w:ascii="仿宋_GB2312" w:hAnsi="宋体" w:eastAsia="仿宋_GB2312" w:cs="楷体_GB2312"/>
                <w:color w:val="000000"/>
                <w:sz w:val="18"/>
                <w:szCs w:val="18"/>
                <w:lang w:eastAsia="zh-CN"/>
              </w:rPr>
              <w:t>2023年第七期</w:t>
            </w:r>
            <w:r>
              <w:rPr>
                <w:rFonts w:hint="eastAsia" w:ascii="仿宋_GB2312" w:hAnsi="宋体" w:eastAsia="仿宋_GB2312" w:cs="楷体_GB2312"/>
                <w:color w:val="000000"/>
                <w:sz w:val="18"/>
                <w:szCs w:val="18"/>
              </w:rPr>
              <w:t>封闭净值型人民币理财产品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产品编码</w:t>
            </w:r>
          </w:p>
        </w:tc>
        <w:tc>
          <w:tcPr>
            <w:tcW w:w="6804" w:type="dxa"/>
          </w:tcPr>
          <w:p>
            <w:pPr>
              <w:autoSpaceDE w:val="0"/>
              <w:autoSpaceDN w:val="0"/>
              <w:rPr>
                <w:rFonts w:hint="default" w:ascii="仿宋_GB2312" w:hAnsi="宋体" w:eastAsia="仿宋_GB2312" w:cs="楷体_GB2312"/>
                <w:color w:val="000000"/>
                <w:sz w:val="18"/>
                <w:szCs w:val="18"/>
                <w:lang w:val="en-US" w:eastAsia="zh-CN"/>
              </w:rPr>
            </w:pPr>
            <w:r>
              <w:rPr>
                <w:rFonts w:hint="eastAsia" w:ascii="仿宋_GB2312" w:hAnsi="宋体" w:eastAsia="仿宋_GB2312" w:cs="楷体_GB2312"/>
                <w:color w:val="000000"/>
                <w:sz w:val="18"/>
                <w:szCs w:val="18"/>
                <w:lang w:val="en-US" w:eastAsia="zh-CN"/>
              </w:rPr>
              <w:t>C1125323000007</w:t>
            </w:r>
            <w:r>
              <w:rPr>
                <w:rFonts w:hint="eastAsia" w:ascii="仿宋_GB2312" w:hAnsi="宋体" w:eastAsia="仿宋_GB2312" w:cs="楷体_GB2312"/>
                <w:sz w:val="18"/>
                <w:szCs w:val="18"/>
              </w:rPr>
              <w:t>(客户可根据产品编码在“中国理财网”</w:t>
            </w:r>
            <w:r>
              <w:rPr>
                <w:rFonts w:hint="eastAsia" w:ascii="宋体" w:hAnsi="宋体" w:cs="楷体_GB2312"/>
                <w:sz w:val="18"/>
                <w:szCs w:val="18"/>
              </w:rPr>
              <w:t>www.chinawealth.com.cn</w:t>
            </w:r>
            <w:r>
              <w:rPr>
                <w:rFonts w:hint="eastAsia" w:ascii="仿宋_GB2312" w:hAnsi="宋体" w:eastAsia="仿宋_GB2312" w:cs="楷体_GB2312"/>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封闭式净值型【非保本浮动收益型】理财产品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投资及收益币种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产品风险评级</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PR2（本产品风险评级仅是</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适合客户类型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经</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风险承受能力评估为谨慎型、平衡型、进取型、激进型。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预期募集资金规模下限</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lang w:val="en-US" w:eastAsia="zh-CN"/>
              </w:rPr>
              <w:t>30</w:t>
            </w:r>
            <w:r>
              <w:rPr>
                <w:rFonts w:hint="eastAsia" w:ascii="仿宋_GB2312" w:hAnsi="宋体" w:eastAsia="仿宋_GB2312" w:cs="楷体_GB2312"/>
                <w:color w:val="000000"/>
                <w:sz w:val="18"/>
                <w:szCs w:val="18"/>
              </w:rPr>
              <w:t>万元。</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有权根据实际需要对产品规模进行调整，产品最终规模以银行实际募集的资金数额为准。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投资者</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指本理财产品的投资人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认购起点金额</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个人投资者1万元，高于认购起点金额以人民币1万元的整数倍递增。机构投资者</w:t>
            </w:r>
            <w:r>
              <w:rPr>
                <w:rFonts w:hint="eastAsia" w:ascii="仿宋_GB2312" w:hAnsi="宋体" w:eastAsia="仿宋_GB2312" w:cs="楷体_GB2312"/>
                <w:color w:val="000000"/>
                <w:sz w:val="18"/>
                <w:szCs w:val="18"/>
                <w:lang w:val="en-US" w:eastAsia="zh-CN"/>
              </w:rPr>
              <w:t>10</w:t>
            </w:r>
            <w:r>
              <w:rPr>
                <w:rFonts w:hint="eastAsia" w:ascii="仿宋_GB2312" w:hAnsi="宋体" w:eastAsia="仿宋_GB2312" w:cs="楷体_GB2312"/>
                <w:color w:val="000000"/>
                <w:sz w:val="18"/>
                <w:szCs w:val="18"/>
              </w:rPr>
              <w:t>万元，高于认购起点金额以人民币1万元的整数倍递增。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理财期限</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val="en-US" w:eastAsia="zh-CN"/>
              </w:rPr>
              <w:t>364</w:t>
            </w:r>
            <w:r>
              <w:rPr>
                <w:rFonts w:hint="eastAsia" w:ascii="仿宋_GB2312" w:hAnsi="宋体" w:eastAsia="仿宋_GB2312" w:cs="楷体_GB2312"/>
                <w:color w:val="000000"/>
                <w:sz w:val="18"/>
                <w:szCs w:val="18"/>
              </w:rPr>
              <w:t>天</w:t>
            </w:r>
            <w:r>
              <w:rPr>
                <w:rFonts w:hint="eastAsia" w:ascii="仿宋_GB2312" w:hAnsi="宋体" w:eastAsia="仿宋_GB2312" w:cs="楷体_GB2312"/>
                <w:color w:val="000000"/>
                <w:sz w:val="18"/>
                <w:szCs w:val="18"/>
                <w:lang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理财产品成立日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w:t>
            </w:r>
            <w:r>
              <w:rPr>
                <w:rFonts w:hint="eastAsia" w:ascii="仿宋_GB2312" w:hAnsi="宋体" w:eastAsia="仿宋_GB2312" w:cs="楷体_GB2312"/>
                <w:color w:val="000000"/>
                <w:sz w:val="18"/>
                <w:szCs w:val="18"/>
                <w:lang w:val="en-US" w:eastAsia="zh-CN"/>
              </w:rPr>
              <w:t>23</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13</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理财产品到期日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202</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11</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拟销售地区</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辖内各支行网点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业绩基准</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本产品业绩比较基准为</w:t>
            </w:r>
            <w:r>
              <w:rPr>
                <w:rFonts w:hint="eastAsia" w:ascii="仿宋_GB2312" w:hAnsi="宋体" w:eastAsia="仿宋_GB2312" w:cs="楷体_GB2312"/>
                <w:color w:val="000000"/>
                <w:sz w:val="18"/>
                <w:szCs w:val="18"/>
                <w:lang w:val="en-US" w:eastAsia="zh-CN"/>
              </w:rPr>
              <w:t>3.0%-3.6% ，</w:t>
            </w:r>
            <w:r>
              <w:rPr>
                <w:rFonts w:hint="eastAsia" w:ascii="仿宋_GB2312" w:hAnsi="宋体" w:eastAsia="仿宋_GB2312" w:cs="楷体_GB2312"/>
                <w:color w:val="000000"/>
                <w:sz w:val="18"/>
                <w:szCs w:val="18"/>
              </w:rPr>
              <w:t>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宋体" w:eastAsia="仿宋_GB2312" w:cs="楷体_GB2312"/>
                <w:color w:val="000000"/>
                <w:sz w:val="18"/>
                <w:szCs w:val="18"/>
                <w:lang w:val="en-US" w:eastAsia="zh-CN"/>
              </w:rPr>
              <w:t>3</w:t>
            </w:r>
            <w:r>
              <w:rPr>
                <w:rFonts w:hint="eastAsia" w:ascii="仿宋_GB2312" w:hAnsi="宋体" w:eastAsia="仿宋_GB2312" w:cs="楷体_GB2312"/>
                <w:color w:val="000000"/>
                <w:sz w:val="18"/>
                <w:szCs w:val="18"/>
              </w:rPr>
              <w:t>%-</w:t>
            </w:r>
            <w:r>
              <w:rPr>
                <w:rFonts w:hint="eastAsia" w:ascii="仿宋_GB2312" w:hAnsi="宋体" w:eastAsia="仿宋_GB2312" w:cs="楷体_GB2312"/>
                <w:color w:val="000000"/>
                <w:sz w:val="18"/>
                <w:szCs w:val="18"/>
                <w:lang w:val="en-US" w:eastAsia="zh-CN"/>
              </w:rPr>
              <w:t>3.6</w:t>
            </w:r>
            <w:r>
              <w:rPr>
                <w:rFonts w:hint="eastAsia" w:ascii="仿宋_GB2312" w:hAnsi="宋体" w:eastAsia="仿宋_GB2312" w:cs="楷体_GB2312"/>
                <w:color w:val="000000"/>
                <w:sz w:val="18"/>
                <w:szCs w:val="18"/>
              </w:rPr>
              <w:t>%左右，不代表产品未来表现和实际收益。（示例仅供参考，具体投资比例可根据各类资产的收益率水平、流动性特征、信用风险等因素动态调整。）该动态业绩比较基准将按周在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网站公告。本产品业绩比较基准为</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一年期定期存款利率加点。</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一年期定期存款利率指产品募集期或预约申购期首个工作日的</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一年期定期存款利率，该利率不随投资周期内中国人民银行调整同期存款利率而调整。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理财产品费用包含销售管理费、产品托管费以及投资管理费等相关费用，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有权按投资周期从理财资金中直接扣除上述费用。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投资收益分配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将于理财产品到期后进行现金分配。所分配的投资收益将以理财产品的单位份额净值计算所得。本理财产品可能会投资于资产管理产品，在赎回资产管理产品时，资产管理产品可能会计提业绩报酬，上述费用的计提时将会扣减资产管理产品的资产净值，从而造成赎回到期时可获得收益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提前终止</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如发生</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认为需要提前终止本理财产品的情况，</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客户资金到账日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理财产品销售银行</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rPr>
              <w:t>浙江绍兴恒信农村</w:t>
            </w:r>
            <w:r>
              <w:rPr>
                <w:rFonts w:hint="eastAsia" w:ascii="仿宋_GB2312" w:hAnsi="宋体" w:eastAsia="仿宋_GB2312" w:cs="楷体_GB2312"/>
                <w:color w:val="000000"/>
                <w:sz w:val="18"/>
                <w:szCs w:val="18"/>
                <w:lang w:eastAsia="zh-CN"/>
              </w:rPr>
              <w:t>商业</w:t>
            </w:r>
            <w:r>
              <w:rPr>
                <w:rFonts w:hint="eastAsia" w:ascii="仿宋_GB2312" w:hAnsi="宋体" w:eastAsia="仿宋_GB2312" w:cs="楷体_GB2312"/>
                <w:color w:val="000000"/>
                <w:sz w:val="18"/>
                <w:szCs w:val="18"/>
              </w:rPr>
              <w:t>银行</w:t>
            </w:r>
            <w:r>
              <w:rPr>
                <w:rFonts w:hint="eastAsia" w:ascii="仿宋_GB2312" w:hAnsi="宋体" w:eastAsia="仿宋_GB2312" w:cs="楷体_GB2312"/>
                <w:color w:val="000000"/>
                <w:sz w:val="18"/>
                <w:szCs w:val="18"/>
                <w:lang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理财产品投资管理人</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浙江绍兴恒信农村商业银行股份有限公司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理财资金托管银行</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兴业银行股份有限公司杭州分行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理财产品的主要风险提示</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理财产品税费</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对账单</w:t>
            </w:r>
          </w:p>
        </w:tc>
        <w:tc>
          <w:tcPr>
            <w:tcW w:w="6804" w:type="dxa"/>
          </w:tcPr>
          <w:p>
            <w:pPr>
              <w:autoSpaceDE w:val="0"/>
              <w:autoSpaceDN w:val="0"/>
              <w:rPr>
                <w:rFonts w:hint="eastAsia"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w:t>
            </w:r>
            <w:r>
              <w:rPr>
                <w:rFonts w:hint="eastAsia" w:ascii="仿宋_GB2312" w:hAnsi="宋体" w:eastAsia="仿宋_GB2312" w:cs="楷体_GB2312"/>
                <w:color w:val="000000"/>
                <w:sz w:val="18"/>
                <w:szCs w:val="18"/>
                <w:lang w:eastAsia="zh-CN"/>
              </w:rPr>
              <w:t>可提</w:t>
            </w:r>
            <w:r>
              <w:rPr>
                <w:rFonts w:hint="eastAsia" w:ascii="仿宋_GB2312" w:hAnsi="宋体" w:eastAsia="仿宋_GB2312" w:cs="楷体_GB2312"/>
                <w:color w:val="000000"/>
                <w:sz w:val="18"/>
                <w:szCs w:val="18"/>
              </w:rPr>
              <w:t>供对账单，</w:t>
            </w:r>
            <w:r>
              <w:rPr>
                <w:rFonts w:hint="eastAsia" w:ascii="仿宋_GB2312" w:hAnsi="宋体" w:eastAsia="仿宋_GB2312" w:cs="楷体_GB2312"/>
                <w:color w:val="000000"/>
                <w:sz w:val="18"/>
                <w:szCs w:val="18"/>
                <w:lang w:eastAsia="zh-CN"/>
              </w:rPr>
              <w:t>客户如果有需求，可通浙江农信手机银行（丰收互联），点击理财</w:t>
            </w:r>
            <w:r>
              <w:rPr>
                <w:rFonts w:hint="eastAsia" w:ascii="仿宋_GB2312" w:hAnsi="宋体" w:eastAsia="仿宋_GB2312" w:cs="楷体_GB2312"/>
                <w:color w:val="000000"/>
                <w:sz w:val="18"/>
                <w:szCs w:val="18"/>
                <w:lang w:val="en-US" w:eastAsia="zh-CN"/>
              </w:rPr>
              <w:t>-我的理财对账单查看账单详情，也可至绍兴恒信农商银行网点柜台打印纸质对账单。</w:t>
            </w:r>
          </w:p>
        </w:tc>
      </w:tr>
    </w:tbl>
    <w:p>
      <w:pPr>
        <w:autoSpaceDE w:val="0"/>
        <w:autoSpaceDN w:val="0"/>
        <w:spacing w:line="540" w:lineRule="exact"/>
        <w:ind w:firstLine="480" w:firstLineChars="200"/>
        <w:jc w:val="left"/>
        <w:rPr>
          <w:rFonts w:cs="¿¬Ìå_GB2312" w:asciiTheme="minorEastAsia" w:hAnsiTheme="minorEastAsia" w:eastAsiaTheme="minorEastAsia"/>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认购期间：</w:t>
      </w:r>
      <w:r>
        <w:rPr>
          <w:rFonts w:hint="eastAsia" w:ascii="仿宋_GB2312" w:hAnsi="仿宋_GB2312" w:eastAsia="仿宋_GB2312" w:cs="仿宋_GB2312"/>
          <w:sz w:val="32"/>
          <w:szCs w:val="32"/>
          <w:lang w:val="en-US" w:eastAsia="zh-CN"/>
        </w:rPr>
        <w:t>2023年4月6日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  认购期间内投资者先到先得，认购期间募集资金累计金额接近预期规模上限后，</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有权酌情停止接受认购，认购期间提前结束。</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  认购期间，认购申请日理财产品销售银行经办行营业场所规定的交易截止时点之后不得撤销认购申请。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  认购起点金额：个人投资者1万元，高于认购起点金额以人民币1万元的整数倍递增。机构投资者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0万元,高于认购起点金额以人民币1万元的整数倍递增。</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  认购价格：每份理财份额人民币1元。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认购份额：认购份额=认购金额/1元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认购费率：0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认购办法</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 个人客户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个人客户持本人有效身份证件及在本行开立的存折或借记卡，并在存折或借记卡账户内存有足额认购金额，填写《</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理财产品协议书》认购。</w:t>
      </w:r>
    </w:p>
    <w:p>
      <w:pPr>
        <w:spacing w:after="156" w:afterLines="5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个人客户购买本理财产品前，须通过本行的风险偏好测评，并在《</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理财产品协议书》上签字确认。</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 机构客户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机构客户经办人持营业执照（副本）复印件（加盖公章）、法定代表人授权委托书及本人有效身份证件，按法律或章程规定需有权机构授权的则必须提供相应的授权书至本行营业网点认购。经办人需填写《</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理财产品协议书》，并在申请书上签字并加盖机构公章、法人章。</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有权于认购日扣划或冻结投资者资金账户中的认购资金。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2.10 认购资金在认购期按活期计息，认购期内的利息不计入投资者认购理财产品本金。如理财产品不能成立，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将退回投资者理财本金，并在认购期间按活期利率计息。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 本理财产品认购期结束后至到期日之前，不办理认购。投资者无权追加投资。</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3、理财产品的成立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理财产品成立的条件：认购期届满（或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提前结束认购），募集资金累计金额达到</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万元。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适用的节假日调整惯例：如遇国家法定节假日，理财产品成立日延后至节假日后的第一个工作日。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理财产品不能成立的条件：认购期届满时，若认购期内理财份额募集资金累计金额低于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万元；或市场发生剧烈波动，经</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判断难以按照本理财产品书规定向购买者提供本理财产品，</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有权宣布本理财产品不成立。本理财产品不成立时，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将在认购期届满后2个工作日内，退还投资者认购资金。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4、理财产品的赎回和提前终止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 本理财产品到期日之前，投资者无权申请该产品赎回，投资者无权提前终止该产品。</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 本理财产品到期日之前，</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有权提前终止该产品，如果</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决定提前终止该产品，将在终止日后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个工作日内通知投资者。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5、投资范围及投资管理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 本理财产品主要投资范围包括但不限于：（1）债券回购等货币市场工具，银行存款及其它银行间资金融通工具；（2）短期融资券、超短期融资券、中期票据、企业债、公司债等银行间、交易所市场债券及债务融资工具，其它固定收益类短期投资工具；（3）符合监管机构规定的信托计划（受益权），基金、证券和保险资产管理计划，保险债权计划等其它金融资产及其组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 各投资资产种类的投资比例</w:t>
      </w:r>
    </w:p>
    <w:tbl>
      <w:tblPr>
        <w:tblStyle w:val="9"/>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60"/>
        <w:gridCol w:w="16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资产种类</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货币市场工具和银行存款等</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债券及债务融资工具</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信托计划、资产管理计划和保险债权计划等其他资产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投资比例</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en-US" w:eastAsia="zh-CN"/>
              </w:rPr>
              <w:t>20</w:t>
            </w:r>
            <w:r>
              <w:rPr>
                <w:rFonts w:hint="eastAsia" w:asciiTheme="minorEastAsia" w:hAnsiTheme="minorEastAsia" w:eastAsiaTheme="minorEastAsia" w:cstheme="minorBidi"/>
                <w:sz w:val="24"/>
                <w:szCs w:val="24"/>
              </w:rPr>
              <w:t>%</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80</w:t>
            </w:r>
            <w:r>
              <w:rPr>
                <w:rFonts w:hint="eastAsia" w:asciiTheme="minorEastAsia" w:hAnsiTheme="minorEastAsia" w:eastAsiaTheme="minorEastAsia" w:cstheme="minorBidi"/>
                <w:sz w:val="24"/>
                <w:szCs w:val="24"/>
              </w:rPr>
              <w:t>%-100%</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%-100%</w:t>
            </w:r>
          </w:p>
        </w:tc>
      </w:tr>
    </w:tbl>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 特别提示：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将在合理期限内进行调整，使之符合投资配置策略要求。</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 对以上理财投资标准、投资对象与投资比例，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保留变更的权利，如发生变更，相关内容以</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通过各营业网点或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网站发布的变更公告中所载明的内容为准。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将至少提前一个工作日通过其各营业网点或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网站发布变更公告。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按照法律法规、产品说明书及其他相关约定，诚实信用、谨慎勤勉地实施投资管理行为，以专业技能管理理财产品资产，依法维护理财产品全体投资者的利益。</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不对本理财产品的收益情况作出承诺或保证，亦不会承诺或保证最低收益或本金安全。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按照本产品说明书及其他相关规定进行投资运作，由此所产生的损失，</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不承担赔偿责任。</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财通证券资产管理有限公司为本产品投资资产管理产品的发行机构。财通证券资产管理有限公司系财通证券股份有限公司的全资子公司，2014年成立，取得中国证监会颁发的《经营证券业务许可证》，具有证券资产管理业务、公开募集证券投资基金管理业务等资格。</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6、产品估值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估值目的</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理财资产估值的目的是客观、准确地反映理财资产是否保值、增值。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估值日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6.3估值对象</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本产品所拥有的各类证券和银行存款本息、应收款项、其它投资等资产及负债。</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本产品按以下方式进行估值：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（1）固定收益类资产估值：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产品持有的固定收益类资产原则上按公允价值计量。</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各类资产优先采用市价法进行估值，对于暂不具备活跃交易市场，或者在活跃市场中没有报价的资产，采用估值技术确定公允价值。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在估值技术难以可靠计量公允价值的情况下，可按照监管机构认可的符合企业会计准则的其他方法进行估值。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（3）基金估值方法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上市流通的证券投资基金按估值日其所在证券交易所的收盘价估值；估值日无交易的，以最近交易日的收盘价估值。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开放式基金以估值日公布的基金净值估值，估值日基金净值未公布的，以基金管理人公布的最近一个工作日基金净值计算。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6.5其他资产存在并可以确定公允价值的，以公允价值计算，公允价值不能确定的按取得时的成本按摊余成本法计算。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6.6如有确凿证据表明按上述方法进行计价不能客观反映其公允价值的，恒信农商银行有权按照最能反映其公允价值的方法计价。</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6.7相关法律法规以及监管部门有强制规定的，从其规定。如有新增事项，按国家最新规定估值。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如产品管理人或产品托管人发现理财估值违反本说明书约定的估值方法、程序及相关法律法规的规定或者未能充分维护理财份额持有人权益时，应立即通知对方，共同查明原因，双方协商解决。</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6.8如估值方法发生变更，恒信农商银行将至少提前一个工作日通过其各营业网点或恒信农商银行网站发布变更公告。</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7、理财收益与分配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 业绩比较基准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本产品业绩比较基准为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左右，不代表产品未来表现和实际收益。（示例仅供参考，具体投资比例可根据各类资产的收益率水平、流动性特征、信用风险等因素动态调整。）该动态业绩比较基准将按周在恒信农商银行网站公告。本产品业绩比较基准不构成</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对该理财产品的任何收益承诺。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将根据市场利率变动及资金运作情况不定期调整产品业绩比较基准，并至少提前1个工作日进行产品说明书的公告。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理财产品单位份额净值的计算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本产品为非保本浮动收益理财产品，本行不提供保本承诺。在最不利情况下，将损失全部本金及收益，由此产生的风险及损失由投资者自行承担。</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理财产品单位份额净值=理财产品净值/理财产品份额</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理财产品单位份额净值为提取相关费用后的净值，客户按该单位份额净值进行到期、提前终止时的分配。</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客户到期日（或提前到期日）本金和收益=客户到期日（或提前到期日）持有产品份额×到期日（或提前到期日）产品单位份额净值</w:t>
      </w:r>
      <w:r>
        <w:rPr>
          <w:rFonts w:hint="eastAsia" w:ascii="仿宋_GB2312" w:hAnsi="仿宋_GB2312" w:eastAsia="仿宋_GB2312" w:cs="仿宋_GB2312"/>
          <w:sz w:val="32"/>
          <w:szCs w:val="32"/>
          <w:lang w:eastAsia="zh-CN"/>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例：投资者投资本理财产品</w:t>
      </w:r>
      <w:r>
        <w:rPr>
          <w:rFonts w:hint="eastAsia" w:ascii="仿宋_GB2312" w:hAnsi="仿宋_GB2312" w:eastAsia="仿宋_GB2312" w:cs="仿宋_GB2312"/>
          <w:sz w:val="32"/>
          <w:szCs w:val="32"/>
          <w:lang w:val="en-US" w:eastAsia="zh-CN"/>
        </w:rPr>
        <w:t>10万元，起息日当日产品净值为1.00元，折算份额100000份。产品到期时，扣除所有固定费用后的产品净值为1.0150，则客户到期收到金额为：1.0150*100000=101500元（上述数据为模拟数据，测算收益不等于实际收益，投资须谨慎。）</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 理财产品费用</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7.3.1 销售费：本理财产品销售费为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托管费：本理财产品托管费为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7.3.3 外包估值费：本理财产品外包估值费为0.005%；</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管理费：投资资产组合净值扣除销售费、托管费超过业绩比较基准</w:t>
      </w:r>
      <w:r>
        <w:rPr>
          <w:rFonts w:hint="eastAsia" w:ascii="仿宋_GB2312" w:hAnsi="仿宋_GB2312" w:eastAsia="仿宋_GB2312" w:cs="仿宋_GB2312"/>
          <w:sz w:val="32"/>
          <w:szCs w:val="32"/>
          <w:highlight w:val="yellow"/>
          <w:lang w:eastAsia="zh-CN"/>
        </w:rPr>
        <w:t>上限</w:t>
      </w:r>
      <w:r>
        <w:rPr>
          <w:rFonts w:hint="eastAsia" w:ascii="仿宋_GB2312" w:hAnsi="仿宋_GB2312" w:eastAsia="仿宋_GB2312" w:cs="仿宋_GB2312"/>
          <w:sz w:val="32"/>
          <w:szCs w:val="32"/>
          <w:highlight w:val="none"/>
        </w:rPr>
        <w:t>收益</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有权收取投资管理费。若超额收益（年化费率）不超过0.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就全部超额部分收取投资管理费；若超额收益（年化费率）超过0.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%，则超额收益（年化费率）超过0.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%的部分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0%归存续客户所有，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0%作为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的投资管理费。若理财产品实际收益等于或小于业绩比较基</w:t>
      </w:r>
      <w:r>
        <w:rPr>
          <w:rFonts w:hint="eastAsia" w:ascii="仿宋_GB2312" w:hAnsi="仿宋_GB2312" w:eastAsia="仿宋_GB2312" w:cs="仿宋_GB2312"/>
          <w:sz w:val="32"/>
          <w:szCs w:val="32"/>
          <w:highlight w:val="none"/>
        </w:rPr>
        <w:t>准</w:t>
      </w:r>
      <w:r>
        <w:rPr>
          <w:rFonts w:hint="eastAsia" w:ascii="仿宋_GB2312" w:hAnsi="仿宋_GB2312" w:eastAsia="仿宋_GB2312" w:cs="仿宋_GB2312"/>
          <w:color w:val="auto"/>
          <w:sz w:val="32"/>
          <w:szCs w:val="32"/>
          <w:highlight w:val="yellow"/>
          <w:lang w:eastAsia="zh-CN"/>
        </w:rPr>
        <w:t>上限</w:t>
      </w:r>
      <w:r>
        <w:rPr>
          <w:rFonts w:hint="eastAsia" w:ascii="仿宋_GB2312" w:hAnsi="仿宋_GB2312" w:eastAsia="仿宋_GB2312" w:cs="仿宋_GB2312"/>
          <w:sz w:val="32"/>
          <w:szCs w:val="32"/>
          <w:highlight w:val="none"/>
        </w:rPr>
        <w:t>收益、销</w:t>
      </w:r>
      <w:r>
        <w:rPr>
          <w:rFonts w:hint="eastAsia" w:ascii="仿宋_GB2312" w:hAnsi="仿宋_GB2312" w:eastAsia="仿宋_GB2312" w:cs="仿宋_GB2312"/>
          <w:sz w:val="32"/>
          <w:szCs w:val="32"/>
        </w:rPr>
        <w:t>售管理费和产品托管费之和，</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不收取投资管理费。</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 理财产品兑付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7.4.1正常兑付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投资者持有产品到期，投资者的理财本金及收益在产品到期后一次性兑付。</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在理财产品实际到期日后2个工作日内，向本理财产品投资人进行本金及收益分配。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7.4.2 非正常情况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如果发生理财产品所投资金融工具未按时足额支付本息等情形，造成本产品的基础资产无法及时、足额变现，</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可以根据实际情况选择向投资者延迟兑付或者分次兑付，并于发生上述情形后的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互联网站和营业网点公告兑付方案。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7.4.3 理财产品延期时投资者所得收益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理财产品到期后，若因理财产品项下所投资金融工具变现等原因造成理财产品不能按时还本付息，理财期限将相应延长，此时投资者的理财收益仍按照“投资收益测算”条款中的计算公式计算。</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7.4.4 展期条款</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有权利根据产品实际情况，对本产品期限进行展期，如发生上述情形，</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将于产品到期前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互联网站和营业网点公告展期方案。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 投资者资金到账日：理财产品实际到期日后2个工作日内。到期日至资金到账日期间，客户资金不计利息。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 税收规定：</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不负责代扣代缴投资者购买本产品的所得税款。但若根据法令的规定或税务等国家机关的命令或要求，银行有义务代扣代缴客户承担的税费时，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将进行代扣代缴。</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 适用的节假日调整惯例：如遇国家法定节假日，投资者资金到账日延后至节假日后的2个工作日内。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 若市场发生变化导致理财产品投资目的不能实现，为保护投资者利益，理财产品销售银行有权提前终止本理财产品。投资者无权提前终止本理财产品。理财产品销售银行将于提前终止日后的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 理财产品销售银行对外公告的提前终止日，为本理财产品的实际到期日。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 理财产品提前终止时，投资收益和理财本金的计算和支付方式按照本说明书第7.2条执行。</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9、风险揭示</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本理财产品有风险，您应在对相关风险有充分认识基础上，谨慎投资。详见风险揭示书。</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10、客户权益须知</w:t>
      </w:r>
      <w:r>
        <w:rPr>
          <w:rFonts w:hint="eastAsia" w:ascii="仿宋_GB2312" w:hAnsi="仿宋_GB2312" w:eastAsia="仿宋_GB2312" w:cs="仿宋_GB2312"/>
          <w:b/>
          <w:bCs/>
          <w:sz w:val="32"/>
          <w:szCs w:val="32"/>
          <w:lang w:eastAsia="zh-CN"/>
        </w:rPr>
        <w:t>专页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 信息披露</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10.1.1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将在理财产品实际到期日后5个工作日内，在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营业网点向客户发布一次理财产品清算公告。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10.1.2 理财产品成立、提前终止或不能成立，理财产品发行银行将于该事项发生后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10.1.3 本产品存续期间，理财产品发行银行将按周在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营业网点发布理财产品周一且该周一为工作日的净值。</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10.1.4 本产品存续期间，</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将提前1个工作日，通过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网站（http://www.sxhxbank.com）和营业网点发布关于投资对象和投资比例、产品业绩比较基准、估值方法变更等相关信息。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10.1.5 理财产品存续期间如发生</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认为可能影响理财产品正常运作的重大不利事项时，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将及时在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 投诉方式</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如投资者有投诉或建议，请将您本人真实姓名、联系方式、投诉或建议内容告知客户投诉热线，我们将及时向您反馈或作进一步的沟通和了解。</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理财业务投诉热线：0575-85208902，0575-85091530。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 理财产品购买流程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详见条款2、认购。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 客户风险承受能力评估流程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理财客户风险评估问卷》提示内容。</w:t>
      </w:r>
    </w:p>
    <w:p>
      <w:pPr>
        <w:autoSpaceDE w:val="0"/>
        <w:autoSpaceDN w:val="0"/>
        <w:spacing w:line="5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特别申明：</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1、本理财产品业绩比较基准仅供客户参考，并不作为</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向客户支付本产品收益的承诺；客户所能获得的最终收益以</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实际支付为准。客户在投资前，请仔细阅读本产品说明书，并作出独立的投资决策。</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2、本《产品说明书》是投资者与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所签订的理财产品文件的一部分，请认真阅读。</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3、本理财产品说明书由</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盖章，投资者须填写相应的业务凭证。但这不意味着投资者的交易申请已经成功。本理财产品说明书与《绍兴恒信</w:t>
      </w:r>
      <w:r>
        <w:rPr>
          <w:rFonts w:hint="eastAsia" w:ascii="仿宋_GB2312" w:hAnsi="仿宋_GB2312" w:eastAsia="仿宋_GB2312" w:cs="仿宋_GB2312"/>
          <w:b/>
          <w:bCs/>
          <w:sz w:val="32"/>
          <w:szCs w:val="32"/>
          <w:lang w:eastAsia="zh-CN"/>
        </w:rPr>
        <w:t>农商</w:t>
      </w:r>
      <w:r>
        <w:rPr>
          <w:rFonts w:hint="eastAsia" w:ascii="仿宋_GB2312" w:hAnsi="仿宋_GB2312" w:eastAsia="仿宋_GB2312" w:cs="仿宋_GB2312"/>
          <w:b/>
          <w:bCs/>
          <w:sz w:val="32"/>
          <w:szCs w:val="32"/>
        </w:rPr>
        <w:t>银行理财产品协议书》共同规范投资者与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的权利义务关系。</w:t>
      </w:r>
    </w:p>
    <w:p>
      <w:pPr>
        <w:autoSpaceDE w:val="0"/>
        <w:autoSpaceDN w:val="0"/>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根据《中国银行保险监督管理委员会办公厅关于进一步做好银行理财信息登记工作有关事项的通知》（银保监办发＜2018＞10号）规定，客户持有理财产品期间，销售银行需持续向银行理财登记托管中心（以下简称中心）报送投资者身份信息及持有理财产品信息，包括但不限于投资者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本理财产品投资于资</w:t>
      </w:r>
      <w:r>
        <w:rPr>
          <w:rFonts w:hint="eastAsia" w:ascii="仿宋_GB2312" w:hAnsi="仿宋_GB2312" w:eastAsia="仿宋_GB2312" w:cs="仿宋_GB2312"/>
          <w:b/>
          <w:bCs/>
          <w:sz w:val="32"/>
          <w:szCs w:val="32"/>
          <w:lang w:eastAsia="zh-CN"/>
        </w:rPr>
        <w:t>通资产管理有限公司的资</w:t>
      </w:r>
      <w:r>
        <w:rPr>
          <w:rFonts w:hint="eastAsia" w:ascii="仿宋_GB2312" w:hAnsi="仿宋_GB2312" w:eastAsia="仿宋_GB2312" w:cs="仿宋_GB2312"/>
          <w:b/>
          <w:bCs/>
          <w:sz w:val="32"/>
          <w:szCs w:val="32"/>
        </w:rPr>
        <w:t>产管理产品，在赎回资产管理产品时，资产管理产品会计提业绩报酬，上述费用的计提时将会扣减资产管理产品的资产净值，从而造成赎回到期时可获得收益下降。</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、本理财产品说明书的最终解释权归</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336" w:lineRule="auto"/>
        <w:jc w:val="left"/>
        <w:rPr>
          <w:rFonts w:ascii="宋体" w:hAnsi="宋体" w:cs="STKaiti,Bold"/>
          <w:b/>
          <w:bCs/>
          <w:color w:val="000000"/>
          <w:sz w:val="24"/>
          <w:u w:val="single"/>
        </w:rPr>
      </w:pPr>
      <w:r>
        <w:rPr>
          <w:rFonts w:hint="eastAsia" w:ascii="宋体" w:hAnsi="宋体" w:cs="STKaiti,Bold"/>
          <w:b/>
          <w:bCs/>
          <w:color w:val="000000"/>
          <w:sz w:val="24"/>
        </w:rPr>
        <w:t>投资人签名</w:t>
      </w:r>
      <w:r>
        <w:rPr>
          <w:rFonts w:hint="eastAsia" w:ascii="宋体" w:hAnsi="宋体" w:cs="STKaiti,Bold"/>
          <w:b/>
          <w:bCs/>
          <w:color w:val="000000"/>
          <w:sz w:val="24"/>
          <w:u w:val="single"/>
        </w:rPr>
        <w:t xml:space="preserve">                       </w:t>
      </w:r>
      <w:r>
        <w:rPr>
          <w:rFonts w:hint="eastAsia" w:ascii="宋体" w:hAnsi="宋体" w:cs="STKaiti,Bold"/>
          <w:b/>
          <w:bCs/>
          <w:color w:val="000000"/>
          <w:sz w:val="24"/>
        </w:rPr>
        <w:t xml:space="preserve">        日期 </w:t>
      </w:r>
      <w:r>
        <w:rPr>
          <w:rFonts w:hint="eastAsia" w:ascii="宋体" w:hAnsi="宋体" w:cs="STKaiti,Bold"/>
          <w:b/>
          <w:bCs/>
          <w:color w:val="000000"/>
          <w:sz w:val="24"/>
          <w:u w:val="single"/>
        </w:rPr>
        <w:t xml:space="preserve">                     </w:t>
      </w:r>
    </w:p>
    <w:p>
      <w:pPr>
        <w:autoSpaceDE w:val="0"/>
        <w:autoSpaceDN w:val="0"/>
        <w:spacing w:line="336" w:lineRule="auto"/>
        <w:jc w:val="left"/>
        <w:rPr>
          <w:rFonts w:ascii="宋体" w:hAnsi="宋体" w:cs="STKaiti,Bold"/>
          <w:b/>
          <w:bCs/>
          <w:color w:val="000000"/>
          <w:sz w:val="24"/>
        </w:rPr>
      </w:pPr>
      <w:r>
        <w:rPr>
          <w:rFonts w:hint="eastAsia" w:ascii="宋体" w:hAnsi="宋体" w:cs="STKaiti,Bold"/>
          <w:b/>
          <w:bCs/>
          <w:color w:val="000000"/>
          <w:sz w:val="24"/>
        </w:rPr>
        <w:t>（企业客户需加盖公章及法定代表人章或预留印鉴）</w:t>
      </w:r>
    </w:p>
    <w:p>
      <w:pPr>
        <w:autoSpaceDE w:val="0"/>
        <w:autoSpaceDN w:val="0"/>
        <w:spacing w:line="54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Kaiti,Bold">
    <w:altName w:val="宋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multilevel"/>
    <w:tmpl w:val="0C4C6A82"/>
    <w:lvl w:ilvl="0" w:tentative="0">
      <w:start w:val="1"/>
      <w:numFmt w:val="chineseCountingThousand"/>
      <w:lvlText w:val="%1、"/>
      <w:lvlJc w:val="left"/>
      <w:pPr>
        <w:tabs>
          <w:tab w:val="left" w:pos="1271"/>
        </w:tabs>
        <w:ind w:left="1271" w:hanging="720"/>
      </w:pPr>
      <w:rPr>
        <w:rFonts w:hint="default"/>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3F"/>
    <w:rsid w:val="00001A31"/>
    <w:rsid w:val="00001C65"/>
    <w:rsid w:val="0000265A"/>
    <w:rsid w:val="00002ED1"/>
    <w:rsid w:val="0000404B"/>
    <w:rsid w:val="0000412B"/>
    <w:rsid w:val="000045E9"/>
    <w:rsid w:val="000050E8"/>
    <w:rsid w:val="00006391"/>
    <w:rsid w:val="00007613"/>
    <w:rsid w:val="000105FC"/>
    <w:rsid w:val="00010DE0"/>
    <w:rsid w:val="000111E8"/>
    <w:rsid w:val="00011A51"/>
    <w:rsid w:val="00012A8E"/>
    <w:rsid w:val="00012CA0"/>
    <w:rsid w:val="00013E94"/>
    <w:rsid w:val="0001684E"/>
    <w:rsid w:val="00016A98"/>
    <w:rsid w:val="0001754B"/>
    <w:rsid w:val="00020E8E"/>
    <w:rsid w:val="000223D2"/>
    <w:rsid w:val="000229F7"/>
    <w:rsid w:val="00022D16"/>
    <w:rsid w:val="0002457F"/>
    <w:rsid w:val="000257B8"/>
    <w:rsid w:val="00025D8F"/>
    <w:rsid w:val="000261BF"/>
    <w:rsid w:val="00026260"/>
    <w:rsid w:val="0002643B"/>
    <w:rsid w:val="0003087D"/>
    <w:rsid w:val="00030C49"/>
    <w:rsid w:val="00031569"/>
    <w:rsid w:val="0003302F"/>
    <w:rsid w:val="00034237"/>
    <w:rsid w:val="00034FFB"/>
    <w:rsid w:val="00035DC3"/>
    <w:rsid w:val="00040152"/>
    <w:rsid w:val="00041EB8"/>
    <w:rsid w:val="00042D82"/>
    <w:rsid w:val="00042DE6"/>
    <w:rsid w:val="00044492"/>
    <w:rsid w:val="000444AC"/>
    <w:rsid w:val="000445A0"/>
    <w:rsid w:val="0004599F"/>
    <w:rsid w:val="00047939"/>
    <w:rsid w:val="00047E41"/>
    <w:rsid w:val="0005029A"/>
    <w:rsid w:val="000510EF"/>
    <w:rsid w:val="000516C4"/>
    <w:rsid w:val="00051A25"/>
    <w:rsid w:val="00052050"/>
    <w:rsid w:val="00054308"/>
    <w:rsid w:val="000570D8"/>
    <w:rsid w:val="000573ED"/>
    <w:rsid w:val="00057A67"/>
    <w:rsid w:val="00060292"/>
    <w:rsid w:val="000604FC"/>
    <w:rsid w:val="00061059"/>
    <w:rsid w:val="000618B5"/>
    <w:rsid w:val="000628B5"/>
    <w:rsid w:val="0006325A"/>
    <w:rsid w:val="00063570"/>
    <w:rsid w:val="00063D7C"/>
    <w:rsid w:val="00067D7B"/>
    <w:rsid w:val="00071EC3"/>
    <w:rsid w:val="00073982"/>
    <w:rsid w:val="000744B7"/>
    <w:rsid w:val="000745F3"/>
    <w:rsid w:val="00074873"/>
    <w:rsid w:val="00074F33"/>
    <w:rsid w:val="0007585B"/>
    <w:rsid w:val="00076777"/>
    <w:rsid w:val="00076B76"/>
    <w:rsid w:val="00081E40"/>
    <w:rsid w:val="000826AB"/>
    <w:rsid w:val="00083200"/>
    <w:rsid w:val="000840C8"/>
    <w:rsid w:val="00085934"/>
    <w:rsid w:val="00086775"/>
    <w:rsid w:val="00086DED"/>
    <w:rsid w:val="0008777D"/>
    <w:rsid w:val="00090FEE"/>
    <w:rsid w:val="000922ED"/>
    <w:rsid w:val="00092346"/>
    <w:rsid w:val="000935F3"/>
    <w:rsid w:val="00096C8A"/>
    <w:rsid w:val="000A041B"/>
    <w:rsid w:val="000A0820"/>
    <w:rsid w:val="000A332C"/>
    <w:rsid w:val="000A3E57"/>
    <w:rsid w:val="000A4321"/>
    <w:rsid w:val="000A43C8"/>
    <w:rsid w:val="000A49FA"/>
    <w:rsid w:val="000A4E8B"/>
    <w:rsid w:val="000A4FD0"/>
    <w:rsid w:val="000A4FFC"/>
    <w:rsid w:val="000A53F3"/>
    <w:rsid w:val="000A5C31"/>
    <w:rsid w:val="000A5C40"/>
    <w:rsid w:val="000A7701"/>
    <w:rsid w:val="000B01D7"/>
    <w:rsid w:val="000B01FB"/>
    <w:rsid w:val="000B1062"/>
    <w:rsid w:val="000B1EA4"/>
    <w:rsid w:val="000B315C"/>
    <w:rsid w:val="000B399D"/>
    <w:rsid w:val="000B3D11"/>
    <w:rsid w:val="000B4007"/>
    <w:rsid w:val="000B5EC5"/>
    <w:rsid w:val="000B6C5F"/>
    <w:rsid w:val="000B7B79"/>
    <w:rsid w:val="000C0AD4"/>
    <w:rsid w:val="000C234E"/>
    <w:rsid w:val="000C256B"/>
    <w:rsid w:val="000C25B4"/>
    <w:rsid w:val="000C2C84"/>
    <w:rsid w:val="000C2FE9"/>
    <w:rsid w:val="000C38EE"/>
    <w:rsid w:val="000C3A9D"/>
    <w:rsid w:val="000C5465"/>
    <w:rsid w:val="000C5643"/>
    <w:rsid w:val="000C6183"/>
    <w:rsid w:val="000C61EE"/>
    <w:rsid w:val="000D1CE3"/>
    <w:rsid w:val="000D1F48"/>
    <w:rsid w:val="000D2F7A"/>
    <w:rsid w:val="000D3543"/>
    <w:rsid w:val="000D4052"/>
    <w:rsid w:val="000D4875"/>
    <w:rsid w:val="000D4950"/>
    <w:rsid w:val="000D6DBF"/>
    <w:rsid w:val="000E020A"/>
    <w:rsid w:val="000E0349"/>
    <w:rsid w:val="000E0B1E"/>
    <w:rsid w:val="000E1363"/>
    <w:rsid w:val="000E2149"/>
    <w:rsid w:val="000E23AB"/>
    <w:rsid w:val="000E2E00"/>
    <w:rsid w:val="000E2FE2"/>
    <w:rsid w:val="000E3EF1"/>
    <w:rsid w:val="000E3F50"/>
    <w:rsid w:val="000E436B"/>
    <w:rsid w:val="000E4505"/>
    <w:rsid w:val="000E4530"/>
    <w:rsid w:val="000E4A60"/>
    <w:rsid w:val="000E4ABC"/>
    <w:rsid w:val="000E5415"/>
    <w:rsid w:val="000E5987"/>
    <w:rsid w:val="000F12C2"/>
    <w:rsid w:val="000F1DF1"/>
    <w:rsid w:val="000F5113"/>
    <w:rsid w:val="000F5494"/>
    <w:rsid w:val="000F5538"/>
    <w:rsid w:val="000F630D"/>
    <w:rsid w:val="000F6DDF"/>
    <w:rsid w:val="000F7795"/>
    <w:rsid w:val="000F7F5D"/>
    <w:rsid w:val="0010067F"/>
    <w:rsid w:val="001008D5"/>
    <w:rsid w:val="0010135B"/>
    <w:rsid w:val="00102759"/>
    <w:rsid w:val="00102BE3"/>
    <w:rsid w:val="00103229"/>
    <w:rsid w:val="001032A0"/>
    <w:rsid w:val="00103C54"/>
    <w:rsid w:val="00103D8A"/>
    <w:rsid w:val="00103FBC"/>
    <w:rsid w:val="001044A7"/>
    <w:rsid w:val="00104B6A"/>
    <w:rsid w:val="00104F3D"/>
    <w:rsid w:val="00105722"/>
    <w:rsid w:val="00105AB4"/>
    <w:rsid w:val="00107639"/>
    <w:rsid w:val="00107679"/>
    <w:rsid w:val="00110021"/>
    <w:rsid w:val="00111525"/>
    <w:rsid w:val="0011202A"/>
    <w:rsid w:val="00112B87"/>
    <w:rsid w:val="00113964"/>
    <w:rsid w:val="00114ABD"/>
    <w:rsid w:val="0011731B"/>
    <w:rsid w:val="00120D0B"/>
    <w:rsid w:val="0012148F"/>
    <w:rsid w:val="001226E3"/>
    <w:rsid w:val="00125689"/>
    <w:rsid w:val="0012762A"/>
    <w:rsid w:val="00131676"/>
    <w:rsid w:val="00131DE6"/>
    <w:rsid w:val="00131E75"/>
    <w:rsid w:val="00132451"/>
    <w:rsid w:val="00132C2C"/>
    <w:rsid w:val="00134483"/>
    <w:rsid w:val="00134A85"/>
    <w:rsid w:val="001403E8"/>
    <w:rsid w:val="00140890"/>
    <w:rsid w:val="001408E3"/>
    <w:rsid w:val="00140BC8"/>
    <w:rsid w:val="00141A7B"/>
    <w:rsid w:val="0014365D"/>
    <w:rsid w:val="001444A4"/>
    <w:rsid w:val="00146A27"/>
    <w:rsid w:val="001479C0"/>
    <w:rsid w:val="00147B92"/>
    <w:rsid w:val="00150E2E"/>
    <w:rsid w:val="00151A3E"/>
    <w:rsid w:val="00151FB6"/>
    <w:rsid w:val="00153316"/>
    <w:rsid w:val="00153C5B"/>
    <w:rsid w:val="00153F05"/>
    <w:rsid w:val="00154C49"/>
    <w:rsid w:val="001560B1"/>
    <w:rsid w:val="001567F7"/>
    <w:rsid w:val="0015748F"/>
    <w:rsid w:val="00157CCB"/>
    <w:rsid w:val="00157F60"/>
    <w:rsid w:val="0016192E"/>
    <w:rsid w:val="001622A2"/>
    <w:rsid w:val="0016348E"/>
    <w:rsid w:val="00163B46"/>
    <w:rsid w:val="00163B9F"/>
    <w:rsid w:val="00163BDD"/>
    <w:rsid w:val="0016420B"/>
    <w:rsid w:val="00165945"/>
    <w:rsid w:val="00167A26"/>
    <w:rsid w:val="00170084"/>
    <w:rsid w:val="001703AB"/>
    <w:rsid w:val="00170DBE"/>
    <w:rsid w:val="00171B68"/>
    <w:rsid w:val="00172E38"/>
    <w:rsid w:val="00173B4C"/>
    <w:rsid w:val="00174527"/>
    <w:rsid w:val="00174753"/>
    <w:rsid w:val="00174F9D"/>
    <w:rsid w:val="001751C7"/>
    <w:rsid w:val="001759DF"/>
    <w:rsid w:val="00176152"/>
    <w:rsid w:val="00176400"/>
    <w:rsid w:val="0017701D"/>
    <w:rsid w:val="00177932"/>
    <w:rsid w:val="001807F1"/>
    <w:rsid w:val="00180B1C"/>
    <w:rsid w:val="00181A21"/>
    <w:rsid w:val="00182307"/>
    <w:rsid w:val="00182317"/>
    <w:rsid w:val="0018296B"/>
    <w:rsid w:val="00182A03"/>
    <w:rsid w:val="0018342E"/>
    <w:rsid w:val="00184797"/>
    <w:rsid w:val="001851AA"/>
    <w:rsid w:val="00186323"/>
    <w:rsid w:val="00186DAC"/>
    <w:rsid w:val="00186FFB"/>
    <w:rsid w:val="00187C03"/>
    <w:rsid w:val="00187E94"/>
    <w:rsid w:val="00190247"/>
    <w:rsid w:val="00190C59"/>
    <w:rsid w:val="001914A6"/>
    <w:rsid w:val="001925E0"/>
    <w:rsid w:val="00192901"/>
    <w:rsid w:val="00193344"/>
    <w:rsid w:val="001933A1"/>
    <w:rsid w:val="001937EC"/>
    <w:rsid w:val="001947BB"/>
    <w:rsid w:val="00194E65"/>
    <w:rsid w:val="00196131"/>
    <w:rsid w:val="00196DEE"/>
    <w:rsid w:val="001972D5"/>
    <w:rsid w:val="001A1931"/>
    <w:rsid w:val="001A2765"/>
    <w:rsid w:val="001A27AB"/>
    <w:rsid w:val="001A3055"/>
    <w:rsid w:val="001A544F"/>
    <w:rsid w:val="001A5A25"/>
    <w:rsid w:val="001A5BF6"/>
    <w:rsid w:val="001B088B"/>
    <w:rsid w:val="001B14C3"/>
    <w:rsid w:val="001B1D96"/>
    <w:rsid w:val="001B2063"/>
    <w:rsid w:val="001B22A0"/>
    <w:rsid w:val="001B2FC0"/>
    <w:rsid w:val="001B36D0"/>
    <w:rsid w:val="001B3907"/>
    <w:rsid w:val="001B4A94"/>
    <w:rsid w:val="001B5B42"/>
    <w:rsid w:val="001B692A"/>
    <w:rsid w:val="001B7DFC"/>
    <w:rsid w:val="001C1EA9"/>
    <w:rsid w:val="001C3F62"/>
    <w:rsid w:val="001C4F1C"/>
    <w:rsid w:val="001C6721"/>
    <w:rsid w:val="001C6ABD"/>
    <w:rsid w:val="001C7672"/>
    <w:rsid w:val="001C77CB"/>
    <w:rsid w:val="001C79B7"/>
    <w:rsid w:val="001C7CD1"/>
    <w:rsid w:val="001D0E14"/>
    <w:rsid w:val="001D11E7"/>
    <w:rsid w:val="001D285D"/>
    <w:rsid w:val="001D2CD6"/>
    <w:rsid w:val="001D2CDD"/>
    <w:rsid w:val="001D358F"/>
    <w:rsid w:val="001D3F36"/>
    <w:rsid w:val="001D5A5F"/>
    <w:rsid w:val="001D5BB6"/>
    <w:rsid w:val="001D658A"/>
    <w:rsid w:val="001D65C4"/>
    <w:rsid w:val="001D6914"/>
    <w:rsid w:val="001E0803"/>
    <w:rsid w:val="001E1FD7"/>
    <w:rsid w:val="001E2158"/>
    <w:rsid w:val="001E2B56"/>
    <w:rsid w:val="001E30D1"/>
    <w:rsid w:val="001E4BCC"/>
    <w:rsid w:val="001E4F3F"/>
    <w:rsid w:val="001E5190"/>
    <w:rsid w:val="001E58B6"/>
    <w:rsid w:val="001E663E"/>
    <w:rsid w:val="001E6A95"/>
    <w:rsid w:val="001E7CA0"/>
    <w:rsid w:val="001E7F9A"/>
    <w:rsid w:val="001F04E7"/>
    <w:rsid w:val="001F06EE"/>
    <w:rsid w:val="001F1946"/>
    <w:rsid w:val="001F1EA8"/>
    <w:rsid w:val="001F30B9"/>
    <w:rsid w:val="001F3A04"/>
    <w:rsid w:val="001F3C43"/>
    <w:rsid w:val="001F64D5"/>
    <w:rsid w:val="001F6652"/>
    <w:rsid w:val="001F67C0"/>
    <w:rsid w:val="001F6844"/>
    <w:rsid w:val="001F6BEC"/>
    <w:rsid w:val="001F78CD"/>
    <w:rsid w:val="0020037A"/>
    <w:rsid w:val="00200930"/>
    <w:rsid w:val="00200EB9"/>
    <w:rsid w:val="00201AD0"/>
    <w:rsid w:val="00201AE7"/>
    <w:rsid w:val="0020224B"/>
    <w:rsid w:val="0020295F"/>
    <w:rsid w:val="00202D90"/>
    <w:rsid w:val="0020332A"/>
    <w:rsid w:val="002042D9"/>
    <w:rsid w:val="0020436E"/>
    <w:rsid w:val="00204ACA"/>
    <w:rsid w:val="002057E7"/>
    <w:rsid w:val="0021113D"/>
    <w:rsid w:val="00211A19"/>
    <w:rsid w:val="0021287F"/>
    <w:rsid w:val="00212E75"/>
    <w:rsid w:val="00212E95"/>
    <w:rsid w:val="00212ECA"/>
    <w:rsid w:val="00216812"/>
    <w:rsid w:val="00216F5A"/>
    <w:rsid w:val="00217B58"/>
    <w:rsid w:val="00220A5C"/>
    <w:rsid w:val="002216BA"/>
    <w:rsid w:val="0022175A"/>
    <w:rsid w:val="00221B1A"/>
    <w:rsid w:val="00223D31"/>
    <w:rsid w:val="00224454"/>
    <w:rsid w:val="0022488F"/>
    <w:rsid w:val="0022554B"/>
    <w:rsid w:val="002278DC"/>
    <w:rsid w:val="002316A8"/>
    <w:rsid w:val="002325CB"/>
    <w:rsid w:val="00234345"/>
    <w:rsid w:val="0023481F"/>
    <w:rsid w:val="002359D1"/>
    <w:rsid w:val="0023774B"/>
    <w:rsid w:val="002423D9"/>
    <w:rsid w:val="00242493"/>
    <w:rsid w:val="00242C31"/>
    <w:rsid w:val="002439E1"/>
    <w:rsid w:val="0024433C"/>
    <w:rsid w:val="002453B3"/>
    <w:rsid w:val="002453FF"/>
    <w:rsid w:val="002458DF"/>
    <w:rsid w:val="00246952"/>
    <w:rsid w:val="00246CFF"/>
    <w:rsid w:val="00247593"/>
    <w:rsid w:val="00247872"/>
    <w:rsid w:val="00247C40"/>
    <w:rsid w:val="0025000E"/>
    <w:rsid w:val="00250664"/>
    <w:rsid w:val="002509AA"/>
    <w:rsid w:val="00251054"/>
    <w:rsid w:val="00251262"/>
    <w:rsid w:val="002518DB"/>
    <w:rsid w:val="00252722"/>
    <w:rsid w:val="0025338E"/>
    <w:rsid w:val="0025343B"/>
    <w:rsid w:val="00253E55"/>
    <w:rsid w:val="002550FB"/>
    <w:rsid w:val="00255CE7"/>
    <w:rsid w:val="002568A2"/>
    <w:rsid w:val="002568B1"/>
    <w:rsid w:val="00256A69"/>
    <w:rsid w:val="0026181A"/>
    <w:rsid w:val="00262778"/>
    <w:rsid w:val="00262E87"/>
    <w:rsid w:val="00263F58"/>
    <w:rsid w:val="00264FF2"/>
    <w:rsid w:val="00266DC8"/>
    <w:rsid w:val="002678B5"/>
    <w:rsid w:val="0026792E"/>
    <w:rsid w:val="0027098D"/>
    <w:rsid w:val="0027121B"/>
    <w:rsid w:val="00274591"/>
    <w:rsid w:val="0027470A"/>
    <w:rsid w:val="002749A2"/>
    <w:rsid w:val="00276248"/>
    <w:rsid w:val="00276460"/>
    <w:rsid w:val="00277D5C"/>
    <w:rsid w:val="0028134F"/>
    <w:rsid w:val="002819BE"/>
    <w:rsid w:val="00281BE7"/>
    <w:rsid w:val="00282559"/>
    <w:rsid w:val="00283282"/>
    <w:rsid w:val="00284533"/>
    <w:rsid w:val="00284A33"/>
    <w:rsid w:val="002851CD"/>
    <w:rsid w:val="002856E5"/>
    <w:rsid w:val="00285785"/>
    <w:rsid w:val="002869F2"/>
    <w:rsid w:val="00287880"/>
    <w:rsid w:val="00287BC0"/>
    <w:rsid w:val="002908A5"/>
    <w:rsid w:val="00290EEB"/>
    <w:rsid w:val="00291784"/>
    <w:rsid w:val="002925AA"/>
    <w:rsid w:val="00292E23"/>
    <w:rsid w:val="00293116"/>
    <w:rsid w:val="00293187"/>
    <w:rsid w:val="00293E65"/>
    <w:rsid w:val="00295BEB"/>
    <w:rsid w:val="0029677A"/>
    <w:rsid w:val="002A1176"/>
    <w:rsid w:val="002A346A"/>
    <w:rsid w:val="002A3CE3"/>
    <w:rsid w:val="002A6B6E"/>
    <w:rsid w:val="002A6DD7"/>
    <w:rsid w:val="002A73AE"/>
    <w:rsid w:val="002A78CE"/>
    <w:rsid w:val="002A7E09"/>
    <w:rsid w:val="002B0FFC"/>
    <w:rsid w:val="002B1164"/>
    <w:rsid w:val="002B32CF"/>
    <w:rsid w:val="002B3FB6"/>
    <w:rsid w:val="002B4D27"/>
    <w:rsid w:val="002B5BBB"/>
    <w:rsid w:val="002B5CC8"/>
    <w:rsid w:val="002B79E9"/>
    <w:rsid w:val="002C0E34"/>
    <w:rsid w:val="002C1B70"/>
    <w:rsid w:val="002C1D35"/>
    <w:rsid w:val="002C29AF"/>
    <w:rsid w:val="002C2EFC"/>
    <w:rsid w:val="002C359E"/>
    <w:rsid w:val="002C4077"/>
    <w:rsid w:val="002C5CE6"/>
    <w:rsid w:val="002C5DD3"/>
    <w:rsid w:val="002C5F38"/>
    <w:rsid w:val="002C6F2D"/>
    <w:rsid w:val="002C745F"/>
    <w:rsid w:val="002C7823"/>
    <w:rsid w:val="002D0548"/>
    <w:rsid w:val="002D28FC"/>
    <w:rsid w:val="002D32C4"/>
    <w:rsid w:val="002D32F8"/>
    <w:rsid w:val="002D33DE"/>
    <w:rsid w:val="002D4248"/>
    <w:rsid w:val="002D4D2D"/>
    <w:rsid w:val="002D65C2"/>
    <w:rsid w:val="002E0B6D"/>
    <w:rsid w:val="002E0F6B"/>
    <w:rsid w:val="002E4C03"/>
    <w:rsid w:val="002E4FF6"/>
    <w:rsid w:val="002E54E7"/>
    <w:rsid w:val="002E5C9F"/>
    <w:rsid w:val="002E631B"/>
    <w:rsid w:val="002F2D10"/>
    <w:rsid w:val="002F3DA2"/>
    <w:rsid w:val="002F4257"/>
    <w:rsid w:val="002F4BA6"/>
    <w:rsid w:val="002F7553"/>
    <w:rsid w:val="002F75E8"/>
    <w:rsid w:val="003016E2"/>
    <w:rsid w:val="00302AF9"/>
    <w:rsid w:val="003052A8"/>
    <w:rsid w:val="003057A8"/>
    <w:rsid w:val="0030688C"/>
    <w:rsid w:val="0030758F"/>
    <w:rsid w:val="003126CD"/>
    <w:rsid w:val="003130B0"/>
    <w:rsid w:val="00313864"/>
    <w:rsid w:val="00313F2B"/>
    <w:rsid w:val="00314DC3"/>
    <w:rsid w:val="00315189"/>
    <w:rsid w:val="00316894"/>
    <w:rsid w:val="00320D02"/>
    <w:rsid w:val="00321648"/>
    <w:rsid w:val="00321C7D"/>
    <w:rsid w:val="00322619"/>
    <w:rsid w:val="003236DB"/>
    <w:rsid w:val="00323A70"/>
    <w:rsid w:val="00324D69"/>
    <w:rsid w:val="003252D9"/>
    <w:rsid w:val="00327C74"/>
    <w:rsid w:val="003318B0"/>
    <w:rsid w:val="00331B92"/>
    <w:rsid w:val="00331C54"/>
    <w:rsid w:val="0033282F"/>
    <w:rsid w:val="00332F7A"/>
    <w:rsid w:val="003330B1"/>
    <w:rsid w:val="00333559"/>
    <w:rsid w:val="00334C62"/>
    <w:rsid w:val="00334CD4"/>
    <w:rsid w:val="00335D36"/>
    <w:rsid w:val="003374DD"/>
    <w:rsid w:val="00337951"/>
    <w:rsid w:val="003400AB"/>
    <w:rsid w:val="003401A0"/>
    <w:rsid w:val="0034184A"/>
    <w:rsid w:val="0034688D"/>
    <w:rsid w:val="003475AB"/>
    <w:rsid w:val="00347CB1"/>
    <w:rsid w:val="003519D2"/>
    <w:rsid w:val="003529B9"/>
    <w:rsid w:val="00353A19"/>
    <w:rsid w:val="00354142"/>
    <w:rsid w:val="00355E6B"/>
    <w:rsid w:val="00361846"/>
    <w:rsid w:val="003622D4"/>
    <w:rsid w:val="003628E7"/>
    <w:rsid w:val="0036348E"/>
    <w:rsid w:val="003636F4"/>
    <w:rsid w:val="00363FF5"/>
    <w:rsid w:val="00364955"/>
    <w:rsid w:val="00365D8B"/>
    <w:rsid w:val="00367CE2"/>
    <w:rsid w:val="00367FBD"/>
    <w:rsid w:val="00370ADC"/>
    <w:rsid w:val="00370F55"/>
    <w:rsid w:val="00371E40"/>
    <w:rsid w:val="00372B76"/>
    <w:rsid w:val="00372CC1"/>
    <w:rsid w:val="00374663"/>
    <w:rsid w:val="00374C0A"/>
    <w:rsid w:val="00374DD4"/>
    <w:rsid w:val="00376419"/>
    <w:rsid w:val="00376517"/>
    <w:rsid w:val="00377D86"/>
    <w:rsid w:val="0038066E"/>
    <w:rsid w:val="00380709"/>
    <w:rsid w:val="00380DB5"/>
    <w:rsid w:val="00382FD8"/>
    <w:rsid w:val="003833C9"/>
    <w:rsid w:val="00383498"/>
    <w:rsid w:val="00383E9E"/>
    <w:rsid w:val="00385490"/>
    <w:rsid w:val="003857CB"/>
    <w:rsid w:val="00386169"/>
    <w:rsid w:val="00387CBB"/>
    <w:rsid w:val="00393E74"/>
    <w:rsid w:val="00394C5C"/>
    <w:rsid w:val="003952E2"/>
    <w:rsid w:val="003957A0"/>
    <w:rsid w:val="00396138"/>
    <w:rsid w:val="003969D3"/>
    <w:rsid w:val="00396E4E"/>
    <w:rsid w:val="00397F01"/>
    <w:rsid w:val="003A0BF7"/>
    <w:rsid w:val="003A0CB8"/>
    <w:rsid w:val="003A13B4"/>
    <w:rsid w:val="003A182C"/>
    <w:rsid w:val="003A2786"/>
    <w:rsid w:val="003A377E"/>
    <w:rsid w:val="003A6AAD"/>
    <w:rsid w:val="003B019A"/>
    <w:rsid w:val="003B0766"/>
    <w:rsid w:val="003B0961"/>
    <w:rsid w:val="003B10A1"/>
    <w:rsid w:val="003B2F87"/>
    <w:rsid w:val="003B368E"/>
    <w:rsid w:val="003B561B"/>
    <w:rsid w:val="003B5A69"/>
    <w:rsid w:val="003B6CC2"/>
    <w:rsid w:val="003B6E49"/>
    <w:rsid w:val="003B7DAC"/>
    <w:rsid w:val="003C169E"/>
    <w:rsid w:val="003C1E3E"/>
    <w:rsid w:val="003C1E92"/>
    <w:rsid w:val="003C21D3"/>
    <w:rsid w:val="003C32D4"/>
    <w:rsid w:val="003C424F"/>
    <w:rsid w:val="003C4652"/>
    <w:rsid w:val="003C5136"/>
    <w:rsid w:val="003C5C3F"/>
    <w:rsid w:val="003C678D"/>
    <w:rsid w:val="003D0C0B"/>
    <w:rsid w:val="003D111E"/>
    <w:rsid w:val="003D1F6F"/>
    <w:rsid w:val="003D2A41"/>
    <w:rsid w:val="003D4880"/>
    <w:rsid w:val="003D49BC"/>
    <w:rsid w:val="003D49CE"/>
    <w:rsid w:val="003D4B14"/>
    <w:rsid w:val="003D5496"/>
    <w:rsid w:val="003D5BAC"/>
    <w:rsid w:val="003D61CE"/>
    <w:rsid w:val="003D799E"/>
    <w:rsid w:val="003E1640"/>
    <w:rsid w:val="003E1ADE"/>
    <w:rsid w:val="003E2E1E"/>
    <w:rsid w:val="003E380D"/>
    <w:rsid w:val="003E397C"/>
    <w:rsid w:val="003E427A"/>
    <w:rsid w:val="003E562D"/>
    <w:rsid w:val="003E595B"/>
    <w:rsid w:val="003E6BE6"/>
    <w:rsid w:val="003E76C6"/>
    <w:rsid w:val="003F22B4"/>
    <w:rsid w:val="003F24CB"/>
    <w:rsid w:val="003F2CD2"/>
    <w:rsid w:val="003F3332"/>
    <w:rsid w:val="003F5667"/>
    <w:rsid w:val="003F59EA"/>
    <w:rsid w:val="003F5ECE"/>
    <w:rsid w:val="003F662E"/>
    <w:rsid w:val="003F66A5"/>
    <w:rsid w:val="003F6EE9"/>
    <w:rsid w:val="003F71D2"/>
    <w:rsid w:val="00400AD7"/>
    <w:rsid w:val="00401F15"/>
    <w:rsid w:val="0040295D"/>
    <w:rsid w:val="00402A34"/>
    <w:rsid w:val="00402B96"/>
    <w:rsid w:val="0040346E"/>
    <w:rsid w:val="00404B44"/>
    <w:rsid w:val="00404C82"/>
    <w:rsid w:val="004077A4"/>
    <w:rsid w:val="00407871"/>
    <w:rsid w:val="00407AB7"/>
    <w:rsid w:val="0041219D"/>
    <w:rsid w:val="004143CC"/>
    <w:rsid w:val="0041519B"/>
    <w:rsid w:val="004167F5"/>
    <w:rsid w:val="00416AF7"/>
    <w:rsid w:val="00416DB0"/>
    <w:rsid w:val="00417C51"/>
    <w:rsid w:val="00417E72"/>
    <w:rsid w:val="00420AE0"/>
    <w:rsid w:val="00422C55"/>
    <w:rsid w:val="00422D42"/>
    <w:rsid w:val="00422DD4"/>
    <w:rsid w:val="00424DA4"/>
    <w:rsid w:val="004252EF"/>
    <w:rsid w:val="00425332"/>
    <w:rsid w:val="00425447"/>
    <w:rsid w:val="00425DCD"/>
    <w:rsid w:val="00425F8B"/>
    <w:rsid w:val="00426A65"/>
    <w:rsid w:val="004277AF"/>
    <w:rsid w:val="0042790C"/>
    <w:rsid w:val="004307D6"/>
    <w:rsid w:val="00430E3D"/>
    <w:rsid w:val="00432E13"/>
    <w:rsid w:val="004336A2"/>
    <w:rsid w:val="00436F9F"/>
    <w:rsid w:val="00440A5E"/>
    <w:rsid w:val="004417AC"/>
    <w:rsid w:val="004417EC"/>
    <w:rsid w:val="00443F3F"/>
    <w:rsid w:val="004440B6"/>
    <w:rsid w:val="00444112"/>
    <w:rsid w:val="00444989"/>
    <w:rsid w:val="0044522D"/>
    <w:rsid w:val="0044582E"/>
    <w:rsid w:val="004469CC"/>
    <w:rsid w:val="00447AB7"/>
    <w:rsid w:val="00447BC0"/>
    <w:rsid w:val="0045019A"/>
    <w:rsid w:val="00450BCB"/>
    <w:rsid w:val="0045121D"/>
    <w:rsid w:val="0045198C"/>
    <w:rsid w:val="0045457F"/>
    <w:rsid w:val="004547A1"/>
    <w:rsid w:val="0045494C"/>
    <w:rsid w:val="00456BCA"/>
    <w:rsid w:val="00456F1F"/>
    <w:rsid w:val="00456F74"/>
    <w:rsid w:val="0045779C"/>
    <w:rsid w:val="0046051B"/>
    <w:rsid w:val="00463186"/>
    <w:rsid w:val="004667B5"/>
    <w:rsid w:val="004667D2"/>
    <w:rsid w:val="0047021A"/>
    <w:rsid w:val="00470CBD"/>
    <w:rsid w:val="00470F26"/>
    <w:rsid w:val="00471500"/>
    <w:rsid w:val="00471566"/>
    <w:rsid w:val="00471DF8"/>
    <w:rsid w:val="00472851"/>
    <w:rsid w:val="00472A69"/>
    <w:rsid w:val="00472B99"/>
    <w:rsid w:val="00472F33"/>
    <w:rsid w:val="00475AE2"/>
    <w:rsid w:val="00475D2A"/>
    <w:rsid w:val="0047678C"/>
    <w:rsid w:val="0047746D"/>
    <w:rsid w:val="00477523"/>
    <w:rsid w:val="00484B5C"/>
    <w:rsid w:val="00484E1E"/>
    <w:rsid w:val="00485823"/>
    <w:rsid w:val="00485AEA"/>
    <w:rsid w:val="00486356"/>
    <w:rsid w:val="00487E8B"/>
    <w:rsid w:val="00491EF0"/>
    <w:rsid w:val="00492980"/>
    <w:rsid w:val="00495906"/>
    <w:rsid w:val="004975D5"/>
    <w:rsid w:val="004A0807"/>
    <w:rsid w:val="004A167F"/>
    <w:rsid w:val="004A391E"/>
    <w:rsid w:val="004A3DB7"/>
    <w:rsid w:val="004A3E66"/>
    <w:rsid w:val="004A498C"/>
    <w:rsid w:val="004A4E97"/>
    <w:rsid w:val="004B0E45"/>
    <w:rsid w:val="004B1868"/>
    <w:rsid w:val="004B1EDA"/>
    <w:rsid w:val="004B1F0D"/>
    <w:rsid w:val="004B628B"/>
    <w:rsid w:val="004B6407"/>
    <w:rsid w:val="004B6A8A"/>
    <w:rsid w:val="004B6CD4"/>
    <w:rsid w:val="004B716A"/>
    <w:rsid w:val="004B75F8"/>
    <w:rsid w:val="004C04F5"/>
    <w:rsid w:val="004C0913"/>
    <w:rsid w:val="004C113E"/>
    <w:rsid w:val="004C26C1"/>
    <w:rsid w:val="004C48F0"/>
    <w:rsid w:val="004C5173"/>
    <w:rsid w:val="004C5968"/>
    <w:rsid w:val="004C7273"/>
    <w:rsid w:val="004D0691"/>
    <w:rsid w:val="004D15C8"/>
    <w:rsid w:val="004D1C9D"/>
    <w:rsid w:val="004D2FD0"/>
    <w:rsid w:val="004D3B2C"/>
    <w:rsid w:val="004D3BF9"/>
    <w:rsid w:val="004D3D29"/>
    <w:rsid w:val="004D4D1F"/>
    <w:rsid w:val="004D5DFC"/>
    <w:rsid w:val="004D6067"/>
    <w:rsid w:val="004D6CE3"/>
    <w:rsid w:val="004D6E6F"/>
    <w:rsid w:val="004D73F7"/>
    <w:rsid w:val="004E1814"/>
    <w:rsid w:val="004E2A56"/>
    <w:rsid w:val="004E3870"/>
    <w:rsid w:val="004E3C3A"/>
    <w:rsid w:val="004E3CAF"/>
    <w:rsid w:val="004E409A"/>
    <w:rsid w:val="004E421A"/>
    <w:rsid w:val="004E559A"/>
    <w:rsid w:val="004E5723"/>
    <w:rsid w:val="004E5B47"/>
    <w:rsid w:val="004E5ED3"/>
    <w:rsid w:val="004E66F1"/>
    <w:rsid w:val="004E70B0"/>
    <w:rsid w:val="004E750E"/>
    <w:rsid w:val="004E760A"/>
    <w:rsid w:val="004E7915"/>
    <w:rsid w:val="004F0B78"/>
    <w:rsid w:val="004F1FE3"/>
    <w:rsid w:val="004F265E"/>
    <w:rsid w:val="004F3455"/>
    <w:rsid w:val="004F355A"/>
    <w:rsid w:val="004F3A78"/>
    <w:rsid w:val="004F50E4"/>
    <w:rsid w:val="00500CEE"/>
    <w:rsid w:val="00500E41"/>
    <w:rsid w:val="005014AF"/>
    <w:rsid w:val="00503999"/>
    <w:rsid w:val="005044DE"/>
    <w:rsid w:val="005055ED"/>
    <w:rsid w:val="00505C6C"/>
    <w:rsid w:val="005068D9"/>
    <w:rsid w:val="00511294"/>
    <w:rsid w:val="00511ED5"/>
    <w:rsid w:val="00512221"/>
    <w:rsid w:val="005125A3"/>
    <w:rsid w:val="0051382E"/>
    <w:rsid w:val="00513D10"/>
    <w:rsid w:val="0051440B"/>
    <w:rsid w:val="00514416"/>
    <w:rsid w:val="00514A6B"/>
    <w:rsid w:val="00515C38"/>
    <w:rsid w:val="00516D33"/>
    <w:rsid w:val="00516D4B"/>
    <w:rsid w:val="00516E40"/>
    <w:rsid w:val="00517DBD"/>
    <w:rsid w:val="00520826"/>
    <w:rsid w:val="005214D0"/>
    <w:rsid w:val="00522A5B"/>
    <w:rsid w:val="00522B29"/>
    <w:rsid w:val="005239E8"/>
    <w:rsid w:val="00523A41"/>
    <w:rsid w:val="00523F1A"/>
    <w:rsid w:val="0052482E"/>
    <w:rsid w:val="00524B82"/>
    <w:rsid w:val="00524CBD"/>
    <w:rsid w:val="00527E97"/>
    <w:rsid w:val="00531772"/>
    <w:rsid w:val="00531896"/>
    <w:rsid w:val="00531C7B"/>
    <w:rsid w:val="00532B81"/>
    <w:rsid w:val="00532E7E"/>
    <w:rsid w:val="00534026"/>
    <w:rsid w:val="00534A05"/>
    <w:rsid w:val="00536817"/>
    <w:rsid w:val="00536AE9"/>
    <w:rsid w:val="0053768E"/>
    <w:rsid w:val="00541DB8"/>
    <w:rsid w:val="00542608"/>
    <w:rsid w:val="00544500"/>
    <w:rsid w:val="00545000"/>
    <w:rsid w:val="005453BF"/>
    <w:rsid w:val="00547278"/>
    <w:rsid w:val="005543A6"/>
    <w:rsid w:val="0055565A"/>
    <w:rsid w:val="00556318"/>
    <w:rsid w:val="0055750D"/>
    <w:rsid w:val="005601B5"/>
    <w:rsid w:val="00560993"/>
    <w:rsid w:val="005628A1"/>
    <w:rsid w:val="00562971"/>
    <w:rsid w:val="00562AFF"/>
    <w:rsid w:val="00562F1C"/>
    <w:rsid w:val="0056367D"/>
    <w:rsid w:val="00563888"/>
    <w:rsid w:val="00563F8E"/>
    <w:rsid w:val="00563FDF"/>
    <w:rsid w:val="00564B13"/>
    <w:rsid w:val="0056529C"/>
    <w:rsid w:val="0056589F"/>
    <w:rsid w:val="00566754"/>
    <w:rsid w:val="00570707"/>
    <w:rsid w:val="005707EA"/>
    <w:rsid w:val="0057149D"/>
    <w:rsid w:val="00571713"/>
    <w:rsid w:val="005727A8"/>
    <w:rsid w:val="00572E44"/>
    <w:rsid w:val="00574938"/>
    <w:rsid w:val="00574F4F"/>
    <w:rsid w:val="00575AD4"/>
    <w:rsid w:val="00577589"/>
    <w:rsid w:val="00580984"/>
    <w:rsid w:val="00582736"/>
    <w:rsid w:val="0058278E"/>
    <w:rsid w:val="00582D4F"/>
    <w:rsid w:val="00582DA7"/>
    <w:rsid w:val="005832F9"/>
    <w:rsid w:val="005841EC"/>
    <w:rsid w:val="005849B9"/>
    <w:rsid w:val="00584BC1"/>
    <w:rsid w:val="0058583A"/>
    <w:rsid w:val="00586A5A"/>
    <w:rsid w:val="0058783F"/>
    <w:rsid w:val="005909A2"/>
    <w:rsid w:val="00590D37"/>
    <w:rsid w:val="00592E8D"/>
    <w:rsid w:val="00593098"/>
    <w:rsid w:val="005950AD"/>
    <w:rsid w:val="00596242"/>
    <w:rsid w:val="005967EE"/>
    <w:rsid w:val="00596DD4"/>
    <w:rsid w:val="005A1073"/>
    <w:rsid w:val="005A2416"/>
    <w:rsid w:val="005A3AD7"/>
    <w:rsid w:val="005A524F"/>
    <w:rsid w:val="005A6280"/>
    <w:rsid w:val="005A7970"/>
    <w:rsid w:val="005B0A3E"/>
    <w:rsid w:val="005B363E"/>
    <w:rsid w:val="005B3FD4"/>
    <w:rsid w:val="005B70E0"/>
    <w:rsid w:val="005B714B"/>
    <w:rsid w:val="005B7170"/>
    <w:rsid w:val="005C07CF"/>
    <w:rsid w:val="005C0EFA"/>
    <w:rsid w:val="005C0F0E"/>
    <w:rsid w:val="005C1C96"/>
    <w:rsid w:val="005C1D35"/>
    <w:rsid w:val="005C2701"/>
    <w:rsid w:val="005C2DD7"/>
    <w:rsid w:val="005C349D"/>
    <w:rsid w:val="005C3619"/>
    <w:rsid w:val="005C4231"/>
    <w:rsid w:val="005C513A"/>
    <w:rsid w:val="005C61FD"/>
    <w:rsid w:val="005C6C2D"/>
    <w:rsid w:val="005D0E1E"/>
    <w:rsid w:val="005D15E7"/>
    <w:rsid w:val="005D1828"/>
    <w:rsid w:val="005D32EE"/>
    <w:rsid w:val="005D4A5E"/>
    <w:rsid w:val="005D4E30"/>
    <w:rsid w:val="005D4FD2"/>
    <w:rsid w:val="005D5112"/>
    <w:rsid w:val="005D62B5"/>
    <w:rsid w:val="005D75A3"/>
    <w:rsid w:val="005E0A96"/>
    <w:rsid w:val="005E1604"/>
    <w:rsid w:val="005E163F"/>
    <w:rsid w:val="005E3F69"/>
    <w:rsid w:val="005E441F"/>
    <w:rsid w:val="005E54B4"/>
    <w:rsid w:val="005E5DD2"/>
    <w:rsid w:val="005E6D80"/>
    <w:rsid w:val="005E6F7C"/>
    <w:rsid w:val="005E7477"/>
    <w:rsid w:val="005F14CF"/>
    <w:rsid w:val="005F1D5D"/>
    <w:rsid w:val="005F35D4"/>
    <w:rsid w:val="005F36A2"/>
    <w:rsid w:val="005F3D9C"/>
    <w:rsid w:val="005F4BD5"/>
    <w:rsid w:val="005F4C6B"/>
    <w:rsid w:val="005F64E0"/>
    <w:rsid w:val="005F654E"/>
    <w:rsid w:val="005F789E"/>
    <w:rsid w:val="00601076"/>
    <w:rsid w:val="00603D16"/>
    <w:rsid w:val="0060436A"/>
    <w:rsid w:val="00604EDC"/>
    <w:rsid w:val="00605CB0"/>
    <w:rsid w:val="00606A5B"/>
    <w:rsid w:val="00606C77"/>
    <w:rsid w:val="00610611"/>
    <w:rsid w:val="00611D63"/>
    <w:rsid w:val="00616BC0"/>
    <w:rsid w:val="00616E5F"/>
    <w:rsid w:val="00616F1B"/>
    <w:rsid w:val="00617D71"/>
    <w:rsid w:val="00617DB1"/>
    <w:rsid w:val="00617EA6"/>
    <w:rsid w:val="00620675"/>
    <w:rsid w:val="00621515"/>
    <w:rsid w:val="00622E51"/>
    <w:rsid w:val="006235C1"/>
    <w:rsid w:val="006242E9"/>
    <w:rsid w:val="0062449D"/>
    <w:rsid w:val="00624A38"/>
    <w:rsid w:val="0062552B"/>
    <w:rsid w:val="00625A2D"/>
    <w:rsid w:val="006261B0"/>
    <w:rsid w:val="006269EE"/>
    <w:rsid w:val="00626EB4"/>
    <w:rsid w:val="00627B54"/>
    <w:rsid w:val="0063108C"/>
    <w:rsid w:val="00631BF0"/>
    <w:rsid w:val="00632768"/>
    <w:rsid w:val="00633412"/>
    <w:rsid w:val="00633E65"/>
    <w:rsid w:val="0063524A"/>
    <w:rsid w:val="00636CBE"/>
    <w:rsid w:val="006374AC"/>
    <w:rsid w:val="0064136C"/>
    <w:rsid w:val="006422A9"/>
    <w:rsid w:val="00642B3B"/>
    <w:rsid w:val="00643193"/>
    <w:rsid w:val="00644E7B"/>
    <w:rsid w:val="006452E4"/>
    <w:rsid w:val="00645790"/>
    <w:rsid w:val="006458A2"/>
    <w:rsid w:val="00646303"/>
    <w:rsid w:val="0064698F"/>
    <w:rsid w:val="00646B85"/>
    <w:rsid w:val="00647682"/>
    <w:rsid w:val="00647A18"/>
    <w:rsid w:val="00650BAB"/>
    <w:rsid w:val="00650D51"/>
    <w:rsid w:val="006515DF"/>
    <w:rsid w:val="00651DED"/>
    <w:rsid w:val="0065427E"/>
    <w:rsid w:val="00654797"/>
    <w:rsid w:val="00655555"/>
    <w:rsid w:val="0065591E"/>
    <w:rsid w:val="00655E79"/>
    <w:rsid w:val="00655F86"/>
    <w:rsid w:val="00656A6E"/>
    <w:rsid w:val="00657060"/>
    <w:rsid w:val="00657DD7"/>
    <w:rsid w:val="006605A4"/>
    <w:rsid w:val="00660E52"/>
    <w:rsid w:val="006645B0"/>
    <w:rsid w:val="00665C97"/>
    <w:rsid w:val="006667FD"/>
    <w:rsid w:val="00666A87"/>
    <w:rsid w:val="00667D88"/>
    <w:rsid w:val="00667EB7"/>
    <w:rsid w:val="0067002F"/>
    <w:rsid w:val="0067034C"/>
    <w:rsid w:val="00670354"/>
    <w:rsid w:val="006712BE"/>
    <w:rsid w:val="00671868"/>
    <w:rsid w:val="00672810"/>
    <w:rsid w:val="006733A9"/>
    <w:rsid w:val="00673428"/>
    <w:rsid w:val="006737D0"/>
    <w:rsid w:val="00673E29"/>
    <w:rsid w:val="006746C5"/>
    <w:rsid w:val="006749F1"/>
    <w:rsid w:val="00674E18"/>
    <w:rsid w:val="00675617"/>
    <w:rsid w:val="00675E76"/>
    <w:rsid w:val="00675F16"/>
    <w:rsid w:val="00676DC5"/>
    <w:rsid w:val="006815E9"/>
    <w:rsid w:val="00681A84"/>
    <w:rsid w:val="00682627"/>
    <w:rsid w:val="00682939"/>
    <w:rsid w:val="00682B9A"/>
    <w:rsid w:val="006848C0"/>
    <w:rsid w:val="00685C17"/>
    <w:rsid w:val="00686DBC"/>
    <w:rsid w:val="00687C5A"/>
    <w:rsid w:val="0069133C"/>
    <w:rsid w:val="00691D6B"/>
    <w:rsid w:val="00692210"/>
    <w:rsid w:val="006927DA"/>
    <w:rsid w:val="00692926"/>
    <w:rsid w:val="006931B4"/>
    <w:rsid w:val="006940D4"/>
    <w:rsid w:val="00694970"/>
    <w:rsid w:val="006958FA"/>
    <w:rsid w:val="00696432"/>
    <w:rsid w:val="006A01CE"/>
    <w:rsid w:val="006A291E"/>
    <w:rsid w:val="006A31FA"/>
    <w:rsid w:val="006A3709"/>
    <w:rsid w:val="006A3C4C"/>
    <w:rsid w:val="006A42AB"/>
    <w:rsid w:val="006A4DF8"/>
    <w:rsid w:val="006A633E"/>
    <w:rsid w:val="006B002D"/>
    <w:rsid w:val="006B1984"/>
    <w:rsid w:val="006B1DE3"/>
    <w:rsid w:val="006B2250"/>
    <w:rsid w:val="006B5418"/>
    <w:rsid w:val="006B5CC2"/>
    <w:rsid w:val="006B61B2"/>
    <w:rsid w:val="006B6E10"/>
    <w:rsid w:val="006C05B4"/>
    <w:rsid w:val="006C0C7B"/>
    <w:rsid w:val="006C2106"/>
    <w:rsid w:val="006C23BD"/>
    <w:rsid w:val="006C4D7F"/>
    <w:rsid w:val="006C54DA"/>
    <w:rsid w:val="006D148C"/>
    <w:rsid w:val="006D6234"/>
    <w:rsid w:val="006D63EC"/>
    <w:rsid w:val="006D7112"/>
    <w:rsid w:val="006E0640"/>
    <w:rsid w:val="006E0837"/>
    <w:rsid w:val="006E15D4"/>
    <w:rsid w:val="006E1A3C"/>
    <w:rsid w:val="006E2A28"/>
    <w:rsid w:val="006E4E76"/>
    <w:rsid w:val="006E5045"/>
    <w:rsid w:val="006E5A90"/>
    <w:rsid w:val="006E6061"/>
    <w:rsid w:val="006E606E"/>
    <w:rsid w:val="006E6E03"/>
    <w:rsid w:val="006E750A"/>
    <w:rsid w:val="006E7FF1"/>
    <w:rsid w:val="006F1643"/>
    <w:rsid w:val="006F18A4"/>
    <w:rsid w:val="006F2F65"/>
    <w:rsid w:val="006F410A"/>
    <w:rsid w:val="006F425F"/>
    <w:rsid w:val="006F42CD"/>
    <w:rsid w:val="006F5143"/>
    <w:rsid w:val="006F518D"/>
    <w:rsid w:val="006F7213"/>
    <w:rsid w:val="006F73BC"/>
    <w:rsid w:val="006F790F"/>
    <w:rsid w:val="006F7B72"/>
    <w:rsid w:val="006F7B8E"/>
    <w:rsid w:val="006F7D90"/>
    <w:rsid w:val="0070127D"/>
    <w:rsid w:val="0070232F"/>
    <w:rsid w:val="00704CFA"/>
    <w:rsid w:val="00707319"/>
    <w:rsid w:val="00711601"/>
    <w:rsid w:val="00712598"/>
    <w:rsid w:val="00712DF3"/>
    <w:rsid w:val="007140B0"/>
    <w:rsid w:val="00714619"/>
    <w:rsid w:val="0071495C"/>
    <w:rsid w:val="00714A1A"/>
    <w:rsid w:val="00717136"/>
    <w:rsid w:val="007219FD"/>
    <w:rsid w:val="00722012"/>
    <w:rsid w:val="00722DAC"/>
    <w:rsid w:val="007241B4"/>
    <w:rsid w:val="00724686"/>
    <w:rsid w:val="00726429"/>
    <w:rsid w:val="007264EA"/>
    <w:rsid w:val="007268F9"/>
    <w:rsid w:val="00731508"/>
    <w:rsid w:val="0073287F"/>
    <w:rsid w:val="007335AD"/>
    <w:rsid w:val="0073420D"/>
    <w:rsid w:val="0073706A"/>
    <w:rsid w:val="00737951"/>
    <w:rsid w:val="00737F48"/>
    <w:rsid w:val="007418AE"/>
    <w:rsid w:val="007419F7"/>
    <w:rsid w:val="00742649"/>
    <w:rsid w:val="00742D1E"/>
    <w:rsid w:val="00742DCE"/>
    <w:rsid w:val="00743326"/>
    <w:rsid w:val="00744C2C"/>
    <w:rsid w:val="00745499"/>
    <w:rsid w:val="007459B5"/>
    <w:rsid w:val="00747816"/>
    <w:rsid w:val="007520AA"/>
    <w:rsid w:val="007530AA"/>
    <w:rsid w:val="00753204"/>
    <w:rsid w:val="0075458F"/>
    <w:rsid w:val="00760047"/>
    <w:rsid w:val="007602D7"/>
    <w:rsid w:val="007602FB"/>
    <w:rsid w:val="0076128B"/>
    <w:rsid w:val="00761319"/>
    <w:rsid w:val="0076294A"/>
    <w:rsid w:val="00762B2D"/>
    <w:rsid w:val="00763717"/>
    <w:rsid w:val="007640DC"/>
    <w:rsid w:val="00764283"/>
    <w:rsid w:val="00770131"/>
    <w:rsid w:val="00770470"/>
    <w:rsid w:val="00771946"/>
    <w:rsid w:val="007731AE"/>
    <w:rsid w:val="00775BB2"/>
    <w:rsid w:val="007764B7"/>
    <w:rsid w:val="00776679"/>
    <w:rsid w:val="00777009"/>
    <w:rsid w:val="0077781B"/>
    <w:rsid w:val="00777D1A"/>
    <w:rsid w:val="0078153D"/>
    <w:rsid w:val="00783263"/>
    <w:rsid w:val="00784470"/>
    <w:rsid w:val="00784EDD"/>
    <w:rsid w:val="00785157"/>
    <w:rsid w:val="0078621F"/>
    <w:rsid w:val="007862FC"/>
    <w:rsid w:val="007864B1"/>
    <w:rsid w:val="007867ED"/>
    <w:rsid w:val="00786CCF"/>
    <w:rsid w:val="00790F4E"/>
    <w:rsid w:val="00792872"/>
    <w:rsid w:val="007928BF"/>
    <w:rsid w:val="007946F8"/>
    <w:rsid w:val="00794DB3"/>
    <w:rsid w:val="007959AF"/>
    <w:rsid w:val="00796BA2"/>
    <w:rsid w:val="00796E17"/>
    <w:rsid w:val="00797010"/>
    <w:rsid w:val="007A00A3"/>
    <w:rsid w:val="007A018A"/>
    <w:rsid w:val="007A180D"/>
    <w:rsid w:val="007A20FD"/>
    <w:rsid w:val="007A644D"/>
    <w:rsid w:val="007A72F6"/>
    <w:rsid w:val="007B016D"/>
    <w:rsid w:val="007B3385"/>
    <w:rsid w:val="007B3C40"/>
    <w:rsid w:val="007B3E7E"/>
    <w:rsid w:val="007B5747"/>
    <w:rsid w:val="007B63A3"/>
    <w:rsid w:val="007B7F3A"/>
    <w:rsid w:val="007C0602"/>
    <w:rsid w:val="007C139D"/>
    <w:rsid w:val="007C25F1"/>
    <w:rsid w:val="007C2B46"/>
    <w:rsid w:val="007C32F1"/>
    <w:rsid w:val="007C468A"/>
    <w:rsid w:val="007C52EE"/>
    <w:rsid w:val="007C5614"/>
    <w:rsid w:val="007C575B"/>
    <w:rsid w:val="007C60C6"/>
    <w:rsid w:val="007D0883"/>
    <w:rsid w:val="007D1CE6"/>
    <w:rsid w:val="007D233A"/>
    <w:rsid w:val="007D290F"/>
    <w:rsid w:val="007D2C56"/>
    <w:rsid w:val="007D2E3A"/>
    <w:rsid w:val="007D737E"/>
    <w:rsid w:val="007D738F"/>
    <w:rsid w:val="007E0248"/>
    <w:rsid w:val="007E0C4D"/>
    <w:rsid w:val="007E0C6A"/>
    <w:rsid w:val="007E1F80"/>
    <w:rsid w:val="007E36FA"/>
    <w:rsid w:val="007E3903"/>
    <w:rsid w:val="007E45FA"/>
    <w:rsid w:val="007E468A"/>
    <w:rsid w:val="007E4764"/>
    <w:rsid w:val="007E4DDB"/>
    <w:rsid w:val="007E6653"/>
    <w:rsid w:val="007E6D59"/>
    <w:rsid w:val="007E704A"/>
    <w:rsid w:val="007F0E1F"/>
    <w:rsid w:val="007F2781"/>
    <w:rsid w:val="007F2CBB"/>
    <w:rsid w:val="007F3E73"/>
    <w:rsid w:val="007F410E"/>
    <w:rsid w:val="007F4A5D"/>
    <w:rsid w:val="007F52E4"/>
    <w:rsid w:val="007F5497"/>
    <w:rsid w:val="007F69B2"/>
    <w:rsid w:val="007F7B46"/>
    <w:rsid w:val="008003D2"/>
    <w:rsid w:val="00800F65"/>
    <w:rsid w:val="008023B1"/>
    <w:rsid w:val="00802F8E"/>
    <w:rsid w:val="00804655"/>
    <w:rsid w:val="00804F06"/>
    <w:rsid w:val="0080678A"/>
    <w:rsid w:val="008071DC"/>
    <w:rsid w:val="008119A4"/>
    <w:rsid w:val="008122D0"/>
    <w:rsid w:val="00812412"/>
    <w:rsid w:val="00813A45"/>
    <w:rsid w:val="00813DC7"/>
    <w:rsid w:val="00815A8E"/>
    <w:rsid w:val="00815B9F"/>
    <w:rsid w:val="0081658A"/>
    <w:rsid w:val="008177F6"/>
    <w:rsid w:val="00817D4F"/>
    <w:rsid w:val="008202B2"/>
    <w:rsid w:val="00820A41"/>
    <w:rsid w:val="0082261D"/>
    <w:rsid w:val="00822A76"/>
    <w:rsid w:val="00823118"/>
    <w:rsid w:val="00823D8E"/>
    <w:rsid w:val="00824156"/>
    <w:rsid w:val="008250A6"/>
    <w:rsid w:val="00825A73"/>
    <w:rsid w:val="00830D82"/>
    <w:rsid w:val="00831D6A"/>
    <w:rsid w:val="008327B4"/>
    <w:rsid w:val="00833A83"/>
    <w:rsid w:val="00833DD9"/>
    <w:rsid w:val="00834683"/>
    <w:rsid w:val="008364F6"/>
    <w:rsid w:val="0083695F"/>
    <w:rsid w:val="00837237"/>
    <w:rsid w:val="008372DE"/>
    <w:rsid w:val="008373F6"/>
    <w:rsid w:val="00837953"/>
    <w:rsid w:val="00840115"/>
    <w:rsid w:val="00841CC3"/>
    <w:rsid w:val="00842095"/>
    <w:rsid w:val="00842BCD"/>
    <w:rsid w:val="00842EE8"/>
    <w:rsid w:val="008431AC"/>
    <w:rsid w:val="00843426"/>
    <w:rsid w:val="00843498"/>
    <w:rsid w:val="00843859"/>
    <w:rsid w:val="008438E9"/>
    <w:rsid w:val="00844127"/>
    <w:rsid w:val="00844C04"/>
    <w:rsid w:val="00845803"/>
    <w:rsid w:val="00846345"/>
    <w:rsid w:val="00850B3C"/>
    <w:rsid w:val="0085177F"/>
    <w:rsid w:val="00852333"/>
    <w:rsid w:val="0085364E"/>
    <w:rsid w:val="0085390A"/>
    <w:rsid w:val="00853A0E"/>
    <w:rsid w:val="00854310"/>
    <w:rsid w:val="00854572"/>
    <w:rsid w:val="00855C17"/>
    <w:rsid w:val="00856060"/>
    <w:rsid w:val="0085608D"/>
    <w:rsid w:val="008561C0"/>
    <w:rsid w:val="00856343"/>
    <w:rsid w:val="00857CF4"/>
    <w:rsid w:val="008617D6"/>
    <w:rsid w:val="008619C3"/>
    <w:rsid w:val="00861F08"/>
    <w:rsid w:val="008634F8"/>
    <w:rsid w:val="008645D0"/>
    <w:rsid w:val="00864CB4"/>
    <w:rsid w:val="00867509"/>
    <w:rsid w:val="00867AA4"/>
    <w:rsid w:val="00867BD1"/>
    <w:rsid w:val="00870160"/>
    <w:rsid w:val="00870200"/>
    <w:rsid w:val="0087182A"/>
    <w:rsid w:val="0087494B"/>
    <w:rsid w:val="00874AE3"/>
    <w:rsid w:val="00874E9E"/>
    <w:rsid w:val="0087592B"/>
    <w:rsid w:val="00876A2B"/>
    <w:rsid w:val="008801E8"/>
    <w:rsid w:val="008810A3"/>
    <w:rsid w:val="008813C7"/>
    <w:rsid w:val="008815A9"/>
    <w:rsid w:val="00881784"/>
    <w:rsid w:val="008818E1"/>
    <w:rsid w:val="00881E2A"/>
    <w:rsid w:val="00881EC1"/>
    <w:rsid w:val="0088328E"/>
    <w:rsid w:val="00883D2A"/>
    <w:rsid w:val="008840CD"/>
    <w:rsid w:val="0088616A"/>
    <w:rsid w:val="00886545"/>
    <w:rsid w:val="008866A7"/>
    <w:rsid w:val="00890A1A"/>
    <w:rsid w:val="00891415"/>
    <w:rsid w:val="00892620"/>
    <w:rsid w:val="00892BE1"/>
    <w:rsid w:val="00892ED2"/>
    <w:rsid w:val="00893714"/>
    <w:rsid w:val="00893C00"/>
    <w:rsid w:val="0089553A"/>
    <w:rsid w:val="00895D74"/>
    <w:rsid w:val="0089677D"/>
    <w:rsid w:val="008977B8"/>
    <w:rsid w:val="008A1424"/>
    <w:rsid w:val="008A2008"/>
    <w:rsid w:val="008A34C7"/>
    <w:rsid w:val="008A3C28"/>
    <w:rsid w:val="008A3C34"/>
    <w:rsid w:val="008A4D48"/>
    <w:rsid w:val="008A50A8"/>
    <w:rsid w:val="008A55E2"/>
    <w:rsid w:val="008A59E6"/>
    <w:rsid w:val="008A669F"/>
    <w:rsid w:val="008A74BD"/>
    <w:rsid w:val="008A7EE1"/>
    <w:rsid w:val="008B026F"/>
    <w:rsid w:val="008B027C"/>
    <w:rsid w:val="008B04B3"/>
    <w:rsid w:val="008B0F05"/>
    <w:rsid w:val="008B208C"/>
    <w:rsid w:val="008B2940"/>
    <w:rsid w:val="008B2EDF"/>
    <w:rsid w:val="008B5800"/>
    <w:rsid w:val="008B5F9C"/>
    <w:rsid w:val="008B64DB"/>
    <w:rsid w:val="008B71B0"/>
    <w:rsid w:val="008B7ADF"/>
    <w:rsid w:val="008B7DC1"/>
    <w:rsid w:val="008C29B6"/>
    <w:rsid w:val="008C2E65"/>
    <w:rsid w:val="008C302C"/>
    <w:rsid w:val="008C46EC"/>
    <w:rsid w:val="008C51FE"/>
    <w:rsid w:val="008C5537"/>
    <w:rsid w:val="008C60C0"/>
    <w:rsid w:val="008D1152"/>
    <w:rsid w:val="008D192D"/>
    <w:rsid w:val="008D3950"/>
    <w:rsid w:val="008D60C9"/>
    <w:rsid w:val="008D7A53"/>
    <w:rsid w:val="008E0918"/>
    <w:rsid w:val="008E1707"/>
    <w:rsid w:val="008E2AA5"/>
    <w:rsid w:val="008E64D4"/>
    <w:rsid w:val="008E751B"/>
    <w:rsid w:val="008F011E"/>
    <w:rsid w:val="008F065A"/>
    <w:rsid w:val="008F1058"/>
    <w:rsid w:val="008F1192"/>
    <w:rsid w:val="008F1B68"/>
    <w:rsid w:val="008F29AE"/>
    <w:rsid w:val="008F3E9E"/>
    <w:rsid w:val="008F45D1"/>
    <w:rsid w:val="008F4B43"/>
    <w:rsid w:val="008F4DAA"/>
    <w:rsid w:val="008F5736"/>
    <w:rsid w:val="008F5794"/>
    <w:rsid w:val="008F603E"/>
    <w:rsid w:val="008F7509"/>
    <w:rsid w:val="008F792C"/>
    <w:rsid w:val="008F7944"/>
    <w:rsid w:val="00900DD1"/>
    <w:rsid w:val="00901BFD"/>
    <w:rsid w:val="00905EA9"/>
    <w:rsid w:val="00906AE1"/>
    <w:rsid w:val="00907C7B"/>
    <w:rsid w:val="0091079B"/>
    <w:rsid w:val="00910B92"/>
    <w:rsid w:val="00911197"/>
    <w:rsid w:val="009115B2"/>
    <w:rsid w:val="0091189F"/>
    <w:rsid w:val="00912C45"/>
    <w:rsid w:val="00914377"/>
    <w:rsid w:val="009147F8"/>
    <w:rsid w:val="009156CE"/>
    <w:rsid w:val="00915BE6"/>
    <w:rsid w:val="00917FE3"/>
    <w:rsid w:val="0092016D"/>
    <w:rsid w:val="009211E3"/>
    <w:rsid w:val="0092224F"/>
    <w:rsid w:val="00923774"/>
    <w:rsid w:val="0092392E"/>
    <w:rsid w:val="00923EB6"/>
    <w:rsid w:val="00924C05"/>
    <w:rsid w:val="009255E8"/>
    <w:rsid w:val="0092625B"/>
    <w:rsid w:val="00927540"/>
    <w:rsid w:val="00930C99"/>
    <w:rsid w:val="00930CAE"/>
    <w:rsid w:val="00930F7D"/>
    <w:rsid w:val="00931921"/>
    <w:rsid w:val="0093204C"/>
    <w:rsid w:val="00932384"/>
    <w:rsid w:val="009349CC"/>
    <w:rsid w:val="00934C3D"/>
    <w:rsid w:val="00935092"/>
    <w:rsid w:val="0093550B"/>
    <w:rsid w:val="00936017"/>
    <w:rsid w:val="00936338"/>
    <w:rsid w:val="00936583"/>
    <w:rsid w:val="00937EC6"/>
    <w:rsid w:val="009402A0"/>
    <w:rsid w:val="0094159A"/>
    <w:rsid w:val="009431B3"/>
    <w:rsid w:val="00944116"/>
    <w:rsid w:val="0094525D"/>
    <w:rsid w:val="009476A8"/>
    <w:rsid w:val="009531B8"/>
    <w:rsid w:val="0095384C"/>
    <w:rsid w:val="00953C65"/>
    <w:rsid w:val="009562E7"/>
    <w:rsid w:val="00956A58"/>
    <w:rsid w:val="00956D6B"/>
    <w:rsid w:val="009574AD"/>
    <w:rsid w:val="00962473"/>
    <w:rsid w:val="0096339B"/>
    <w:rsid w:val="0096391D"/>
    <w:rsid w:val="00963A31"/>
    <w:rsid w:val="0096412F"/>
    <w:rsid w:val="00964248"/>
    <w:rsid w:val="009643A4"/>
    <w:rsid w:val="009703D6"/>
    <w:rsid w:val="00970DAE"/>
    <w:rsid w:val="009712FD"/>
    <w:rsid w:val="00971B8F"/>
    <w:rsid w:val="00971DF0"/>
    <w:rsid w:val="00972728"/>
    <w:rsid w:val="00972DF3"/>
    <w:rsid w:val="00975428"/>
    <w:rsid w:val="0097585C"/>
    <w:rsid w:val="009759E4"/>
    <w:rsid w:val="00976CAE"/>
    <w:rsid w:val="0097732E"/>
    <w:rsid w:val="00977D08"/>
    <w:rsid w:val="009803DD"/>
    <w:rsid w:val="00980864"/>
    <w:rsid w:val="009813C3"/>
    <w:rsid w:val="009819E8"/>
    <w:rsid w:val="00985197"/>
    <w:rsid w:val="009855B5"/>
    <w:rsid w:val="009869F0"/>
    <w:rsid w:val="009870E0"/>
    <w:rsid w:val="00990AB0"/>
    <w:rsid w:val="00994F7C"/>
    <w:rsid w:val="009954D3"/>
    <w:rsid w:val="0099602F"/>
    <w:rsid w:val="00996471"/>
    <w:rsid w:val="00997394"/>
    <w:rsid w:val="009A07E0"/>
    <w:rsid w:val="009A1B02"/>
    <w:rsid w:val="009A20BA"/>
    <w:rsid w:val="009A25E6"/>
    <w:rsid w:val="009A2C07"/>
    <w:rsid w:val="009A4215"/>
    <w:rsid w:val="009A4F16"/>
    <w:rsid w:val="009A636A"/>
    <w:rsid w:val="009B094E"/>
    <w:rsid w:val="009B21A9"/>
    <w:rsid w:val="009B2C9D"/>
    <w:rsid w:val="009B39A8"/>
    <w:rsid w:val="009B4280"/>
    <w:rsid w:val="009B4EAE"/>
    <w:rsid w:val="009B520C"/>
    <w:rsid w:val="009B6E83"/>
    <w:rsid w:val="009B79A1"/>
    <w:rsid w:val="009B7B53"/>
    <w:rsid w:val="009C0EE2"/>
    <w:rsid w:val="009C1487"/>
    <w:rsid w:val="009C19E1"/>
    <w:rsid w:val="009C218A"/>
    <w:rsid w:val="009C3409"/>
    <w:rsid w:val="009C3B1C"/>
    <w:rsid w:val="009C5036"/>
    <w:rsid w:val="009C62B3"/>
    <w:rsid w:val="009C6695"/>
    <w:rsid w:val="009C67EF"/>
    <w:rsid w:val="009C6995"/>
    <w:rsid w:val="009C711E"/>
    <w:rsid w:val="009D1DB6"/>
    <w:rsid w:val="009D29EA"/>
    <w:rsid w:val="009D3473"/>
    <w:rsid w:val="009D3A71"/>
    <w:rsid w:val="009D42EC"/>
    <w:rsid w:val="009D442D"/>
    <w:rsid w:val="009D5BC4"/>
    <w:rsid w:val="009D6691"/>
    <w:rsid w:val="009D7391"/>
    <w:rsid w:val="009D74C7"/>
    <w:rsid w:val="009D7FBA"/>
    <w:rsid w:val="009E001E"/>
    <w:rsid w:val="009E046C"/>
    <w:rsid w:val="009E0781"/>
    <w:rsid w:val="009E0F2D"/>
    <w:rsid w:val="009E1AFF"/>
    <w:rsid w:val="009E2663"/>
    <w:rsid w:val="009E2C7F"/>
    <w:rsid w:val="009E397C"/>
    <w:rsid w:val="009E3D3F"/>
    <w:rsid w:val="009E5279"/>
    <w:rsid w:val="009E544D"/>
    <w:rsid w:val="009E565C"/>
    <w:rsid w:val="009E59F2"/>
    <w:rsid w:val="009E6120"/>
    <w:rsid w:val="009E76B6"/>
    <w:rsid w:val="009E7C43"/>
    <w:rsid w:val="009F0415"/>
    <w:rsid w:val="009F0DF9"/>
    <w:rsid w:val="009F1BB4"/>
    <w:rsid w:val="009F2B1C"/>
    <w:rsid w:val="009F34E6"/>
    <w:rsid w:val="009F5AED"/>
    <w:rsid w:val="009F6024"/>
    <w:rsid w:val="009F6065"/>
    <w:rsid w:val="009F6FB9"/>
    <w:rsid w:val="009F7989"/>
    <w:rsid w:val="009F7B77"/>
    <w:rsid w:val="009F7FB9"/>
    <w:rsid w:val="00A010C7"/>
    <w:rsid w:val="00A016A8"/>
    <w:rsid w:val="00A02C81"/>
    <w:rsid w:val="00A02FF4"/>
    <w:rsid w:val="00A03761"/>
    <w:rsid w:val="00A03D65"/>
    <w:rsid w:val="00A03DD7"/>
    <w:rsid w:val="00A04AF0"/>
    <w:rsid w:val="00A0723D"/>
    <w:rsid w:val="00A075D3"/>
    <w:rsid w:val="00A07EE7"/>
    <w:rsid w:val="00A11080"/>
    <w:rsid w:val="00A11CB3"/>
    <w:rsid w:val="00A1249E"/>
    <w:rsid w:val="00A125C5"/>
    <w:rsid w:val="00A12D8D"/>
    <w:rsid w:val="00A16190"/>
    <w:rsid w:val="00A16B78"/>
    <w:rsid w:val="00A177F2"/>
    <w:rsid w:val="00A20DFA"/>
    <w:rsid w:val="00A21DB9"/>
    <w:rsid w:val="00A221E8"/>
    <w:rsid w:val="00A23EE8"/>
    <w:rsid w:val="00A248B9"/>
    <w:rsid w:val="00A24951"/>
    <w:rsid w:val="00A2691B"/>
    <w:rsid w:val="00A26FBB"/>
    <w:rsid w:val="00A2796E"/>
    <w:rsid w:val="00A311E9"/>
    <w:rsid w:val="00A3162D"/>
    <w:rsid w:val="00A33397"/>
    <w:rsid w:val="00A35A59"/>
    <w:rsid w:val="00A37C71"/>
    <w:rsid w:val="00A37F21"/>
    <w:rsid w:val="00A406E7"/>
    <w:rsid w:val="00A41053"/>
    <w:rsid w:val="00A418BF"/>
    <w:rsid w:val="00A41E6C"/>
    <w:rsid w:val="00A42098"/>
    <w:rsid w:val="00A430F2"/>
    <w:rsid w:val="00A432AA"/>
    <w:rsid w:val="00A443C6"/>
    <w:rsid w:val="00A455A4"/>
    <w:rsid w:val="00A45A71"/>
    <w:rsid w:val="00A46623"/>
    <w:rsid w:val="00A46CD1"/>
    <w:rsid w:val="00A46E11"/>
    <w:rsid w:val="00A471C9"/>
    <w:rsid w:val="00A47D5D"/>
    <w:rsid w:val="00A50098"/>
    <w:rsid w:val="00A511F9"/>
    <w:rsid w:val="00A52699"/>
    <w:rsid w:val="00A529CA"/>
    <w:rsid w:val="00A53AD7"/>
    <w:rsid w:val="00A5411F"/>
    <w:rsid w:val="00A54427"/>
    <w:rsid w:val="00A54759"/>
    <w:rsid w:val="00A55629"/>
    <w:rsid w:val="00A55AED"/>
    <w:rsid w:val="00A56CEE"/>
    <w:rsid w:val="00A56EEB"/>
    <w:rsid w:val="00A61B59"/>
    <w:rsid w:val="00A62477"/>
    <w:rsid w:val="00A63089"/>
    <w:rsid w:val="00A63B78"/>
    <w:rsid w:val="00A63E06"/>
    <w:rsid w:val="00A642B9"/>
    <w:rsid w:val="00A66407"/>
    <w:rsid w:val="00A708EF"/>
    <w:rsid w:val="00A71484"/>
    <w:rsid w:val="00A7182B"/>
    <w:rsid w:val="00A71884"/>
    <w:rsid w:val="00A731D2"/>
    <w:rsid w:val="00A74DE8"/>
    <w:rsid w:val="00A757B7"/>
    <w:rsid w:val="00A81446"/>
    <w:rsid w:val="00A821B0"/>
    <w:rsid w:val="00A82479"/>
    <w:rsid w:val="00A82765"/>
    <w:rsid w:val="00A82AE2"/>
    <w:rsid w:val="00A838AD"/>
    <w:rsid w:val="00A84443"/>
    <w:rsid w:val="00A86BFE"/>
    <w:rsid w:val="00A90A91"/>
    <w:rsid w:val="00A914A8"/>
    <w:rsid w:val="00A91519"/>
    <w:rsid w:val="00A9178E"/>
    <w:rsid w:val="00A92E8D"/>
    <w:rsid w:val="00A930D6"/>
    <w:rsid w:val="00A943E9"/>
    <w:rsid w:val="00A94640"/>
    <w:rsid w:val="00AA1DBC"/>
    <w:rsid w:val="00AA2344"/>
    <w:rsid w:val="00AA2DED"/>
    <w:rsid w:val="00AA3EBF"/>
    <w:rsid w:val="00AA3F8E"/>
    <w:rsid w:val="00AA6367"/>
    <w:rsid w:val="00AA68AC"/>
    <w:rsid w:val="00AA7792"/>
    <w:rsid w:val="00AB04B7"/>
    <w:rsid w:val="00AB0BCB"/>
    <w:rsid w:val="00AB1FD2"/>
    <w:rsid w:val="00AB20B1"/>
    <w:rsid w:val="00AB2201"/>
    <w:rsid w:val="00AB2E4A"/>
    <w:rsid w:val="00AB415D"/>
    <w:rsid w:val="00AB5664"/>
    <w:rsid w:val="00AB5789"/>
    <w:rsid w:val="00AB70F7"/>
    <w:rsid w:val="00AB7778"/>
    <w:rsid w:val="00AC16ED"/>
    <w:rsid w:val="00AC1F25"/>
    <w:rsid w:val="00AC20C1"/>
    <w:rsid w:val="00AC2870"/>
    <w:rsid w:val="00AC3750"/>
    <w:rsid w:val="00AC3BA2"/>
    <w:rsid w:val="00AC6379"/>
    <w:rsid w:val="00AC6D5E"/>
    <w:rsid w:val="00AD3B6C"/>
    <w:rsid w:val="00AD4E19"/>
    <w:rsid w:val="00AD4FF0"/>
    <w:rsid w:val="00AD5F13"/>
    <w:rsid w:val="00AD61D8"/>
    <w:rsid w:val="00AD6E90"/>
    <w:rsid w:val="00AE19F2"/>
    <w:rsid w:val="00AE2575"/>
    <w:rsid w:val="00AE2996"/>
    <w:rsid w:val="00AE2D8D"/>
    <w:rsid w:val="00AE3BDC"/>
    <w:rsid w:val="00AE68A8"/>
    <w:rsid w:val="00AE6D8F"/>
    <w:rsid w:val="00AE6EA7"/>
    <w:rsid w:val="00AE763B"/>
    <w:rsid w:val="00AF2DD6"/>
    <w:rsid w:val="00AF30DB"/>
    <w:rsid w:val="00AF393B"/>
    <w:rsid w:val="00AF4042"/>
    <w:rsid w:val="00AF40D2"/>
    <w:rsid w:val="00AF4E45"/>
    <w:rsid w:val="00AF51DC"/>
    <w:rsid w:val="00AF5A37"/>
    <w:rsid w:val="00AF772C"/>
    <w:rsid w:val="00B01B85"/>
    <w:rsid w:val="00B040D8"/>
    <w:rsid w:val="00B066F9"/>
    <w:rsid w:val="00B06708"/>
    <w:rsid w:val="00B06EEA"/>
    <w:rsid w:val="00B072E7"/>
    <w:rsid w:val="00B07314"/>
    <w:rsid w:val="00B07459"/>
    <w:rsid w:val="00B111E8"/>
    <w:rsid w:val="00B13960"/>
    <w:rsid w:val="00B13CAB"/>
    <w:rsid w:val="00B13D6E"/>
    <w:rsid w:val="00B14678"/>
    <w:rsid w:val="00B14737"/>
    <w:rsid w:val="00B148B0"/>
    <w:rsid w:val="00B15570"/>
    <w:rsid w:val="00B158D3"/>
    <w:rsid w:val="00B16B04"/>
    <w:rsid w:val="00B16F00"/>
    <w:rsid w:val="00B204A8"/>
    <w:rsid w:val="00B21D8A"/>
    <w:rsid w:val="00B21E86"/>
    <w:rsid w:val="00B22613"/>
    <w:rsid w:val="00B226AA"/>
    <w:rsid w:val="00B22C20"/>
    <w:rsid w:val="00B25409"/>
    <w:rsid w:val="00B258C1"/>
    <w:rsid w:val="00B25A59"/>
    <w:rsid w:val="00B2756D"/>
    <w:rsid w:val="00B2756E"/>
    <w:rsid w:val="00B30F26"/>
    <w:rsid w:val="00B3116A"/>
    <w:rsid w:val="00B329C3"/>
    <w:rsid w:val="00B32F0A"/>
    <w:rsid w:val="00B32F6E"/>
    <w:rsid w:val="00B3370B"/>
    <w:rsid w:val="00B34267"/>
    <w:rsid w:val="00B36382"/>
    <w:rsid w:val="00B3647D"/>
    <w:rsid w:val="00B4092A"/>
    <w:rsid w:val="00B458DA"/>
    <w:rsid w:val="00B45EAE"/>
    <w:rsid w:val="00B47651"/>
    <w:rsid w:val="00B5206D"/>
    <w:rsid w:val="00B53739"/>
    <w:rsid w:val="00B539DF"/>
    <w:rsid w:val="00B55781"/>
    <w:rsid w:val="00B55B47"/>
    <w:rsid w:val="00B619F8"/>
    <w:rsid w:val="00B62056"/>
    <w:rsid w:val="00B62103"/>
    <w:rsid w:val="00B623CA"/>
    <w:rsid w:val="00B62601"/>
    <w:rsid w:val="00B647CC"/>
    <w:rsid w:val="00B6489A"/>
    <w:rsid w:val="00B64F02"/>
    <w:rsid w:val="00B64F1A"/>
    <w:rsid w:val="00B6738A"/>
    <w:rsid w:val="00B67DFA"/>
    <w:rsid w:val="00B67F9E"/>
    <w:rsid w:val="00B70F09"/>
    <w:rsid w:val="00B70F65"/>
    <w:rsid w:val="00B71139"/>
    <w:rsid w:val="00B715BB"/>
    <w:rsid w:val="00B71BA3"/>
    <w:rsid w:val="00B73EFA"/>
    <w:rsid w:val="00B74907"/>
    <w:rsid w:val="00B7523A"/>
    <w:rsid w:val="00B75805"/>
    <w:rsid w:val="00B76C18"/>
    <w:rsid w:val="00B77518"/>
    <w:rsid w:val="00B777FB"/>
    <w:rsid w:val="00B80320"/>
    <w:rsid w:val="00B8101D"/>
    <w:rsid w:val="00B84AAF"/>
    <w:rsid w:val="00B85F1B"/>
    <w:rsid w:val="00B8616B"/>
    <w:rsid w:val="00B86B8C"/>
    <w:rsid w:val="00B8765C"/>
    <w:rsid w:val="00B90E0E"/>
    <w:rsid w:val="00B91ADD"/>
    <w:rsid w:val="00B91D60"/>
    <w:rsid w:val="00B91EEB"/>
    <w:rsid w:val="00B92C8D"/>
    <w:rsid w:val="00B93B88"/>
    <w:rsid w:val="00B95E23"/>
    <w:rsid w:val="00BA15BD"/>
    <w:rsid w:val="00BA1AC5"/>
    <w:rsid w:val="00BA1CC8"/>
    <w:rsid w:val="00BA4401"/>
    <w:rsid w:val="00BA47A8"/>
    <w:rsid w:val="00BA50BB"/>
    <w:rsid w:val="00BA6626"/>
    <w:rsid w:val="00BA6AD6"/>
    <w:rsid w:val="00BA6B2D"/>
    <w:rsid w:val="00BA765F"/>
    <w:rsid w:val="00BA7A8A"/>
    <w:rsid w:val="00BB0B27"/>
    <w:rsid w:val="00BB1108"/>
    <w:rsid w:val="00BB326C"/>
    <w:rsid w:val="00BB5E4D"/>
    <w:rsid w:val="00BB6341"/>
    <w:rsid w:val="00BB742D"/>
    <w:rsid w:val="00BB7F9B"/>
    <w:rsid w:val="00BC01FE"/>
    <w:rsid w:val="00BC0EB1"/>
    <w:rsid w:val="00BC0EBF"/>
    <w:rsid w:val="00BC2070"/>
    <w:rsid w:val="00BC276B"/>
    <w:rsid w:val="00BC334D"/>
    <w:rsid w:val="00BC6E8B"/>
    <w:rsid w:val="00BD04A2"/>
    <w:rsid w:val="00BD2D6D"/>
    <w:rsid w:val="00BD30DE"/>
    <w:rsid w:val="00BD644A"/>
    <w:rsid w:val="00BD6DD5"/>
    <w:rsid w:val="00BD7218"/>
    <w:rsid w:val="00BD7DF4"/>
    <w:rsid w:val="00BE13A7"/>
    <w:rsid w:val="00BE1412"/>
    <w:rsid w:val="00BE1A6B"/>
    <w:rsid w:val="00BE247C"/>
    <w:rsid w:val="00BE253C"/>
    <w:rsid w:val="00BE3548"/>
    <w:rsid w:val="00BE3AC3"/>
    <w:rsid w:val="00BE7218"/>
    <w:rsid w:val="00BF0F8A"/>
    <w:rsid w:val="00BF1535"/>
    <w:rsid w:val="00BF1FD3"/>
    <w:rsid w:val="00BF202D"/>
    <w:rsid w:val="00BF2967"/>
    <w:rsid w:val="00BF33DE"/>
    <w:rsid w:val="00BF4AC4"/>
    <w:rsid w:val="00BF62B6"/>
    <w:rsid w:val="00BF641A"/>
    <w:rsid w:val="00BF7CBF"/>
    <w:rsid w:val="00C00051"/>
    <w:rsid w:val="00C0066D"/>
    <w:rsid w:val="00C006CE"/>
    <w:rsid w:val="00C00EC0"/>
    <w:rsid w:val="00C01128"/>
    <w:rsid w:val="00C02769"/>
    <w:rsid w:val="00C02930"/>
    <w:rsid w:val="00C02A03"/>
    <w:rsid w:val="00C02F7D"/>
    <w:rsid w:val="00C03B35"/>
    <w:rsid w:val="00C0580A"/>
    <w:rsid w:val="00C05E39"/>
    <w:rsid w:val="00C0647A"/>
    <w:rsid w:val="00C07BEC"/>
    <w:rsid w:val="00C10EDF"/>
    <w:rsid w:val="00C11143"/>
    <w:rsid w:val="00C121DA"/>
    <w:rsid w:val="00C13206"/>
    <w:rsid w:val="00C13FAF"/>
    <w:rsid w:val="00C14593"/>
    <w:rsid w:val="00C14A97"/>
    <w:rsid w:val="00C15BE9"/>
    <w:rsid w:val="00C173B7"/>
    <w:rsid w:val="00C173ED"/>
    <w:rsid w:val="00C1767D"/>
    <w:rsid w:val="00C17D21"/>
    <w:rsid w:val="00C23294"/>
    <w:rsid w:val="00C236BD"/>
    <w:rsid w:val="00C24488"/>
    <w:rsid w:val="00C244C0"/>
    <w:rsid w:val="00C27131"/>
    <w:rsid w:val="00C2770B"/>
    <w:rsid w:val="00C30CFD"/>
    <w:rsid w:val="00C33508"/>
    <w:rsid w:val="00C33C96"/>
    <w:rsid w:val="00C347FA"/>
    <w:rsid w:val="00C34A21"/>
    <w:rsid w:val="00C34BC1"/>
    <w:rsid w:val="00C354F4"/>
    <w:rsid w:val="00C35E42"/>
    <w:rsid w:val="00C4074E"/>
    <w:rsid w:val="00C40A9E"/>
    <w:rsid w:val="00C41B11"/>
    <w:rsid w:val="00C424BB"/>
    <w:rsid w:val="00C4378C"/>
    <w:rsid w:val="00C43D3D"/>
    <w:rsid w:val="00C458B4"/>
    <w:rsid w:val="00C47D78"/>
    <w:rsid w:val="00C5321A"/>
    <w:rsid w:val="00C536FA"/>
    <w:rsid w:val="00C540E0"/>
    <w:rsid w:val="00C5448E"/>
    <w:rsid w:val="00C5526F"/>
    <w:rsid w:val="00C559B3"/>
    <w:rsid w:val="00C561D4"/>
    <w:rsid w:val="00C576DE"/>
    <w:rsid w:val="00C57C62"/>
    <w:rsid w:val="00C61FC7"/>
    <w:rsid w:val="00C62116"/>
    <w:rsid w:val="00C62205"/>
    <w:rsid w:val="00C6252C"/>
    <w:rsid w:val="00C62C0E"/>
    <w:rsid w:val="00C62EE7"/>
    <w:rsid w:val="00C62FFC"/>
    <w:rsid w:val="00C64851"/>
    <w:rsid w:val="00C65702"/>
    <w:rsid w:val="00C67975"/>
    <w:rsid w:val="00C70A07"/>
    <w:rsid w:val="00C721A0"/>
    <w:rsid w:val="00C72FEA"/>
    <w:rsid w:val="00C73478"/>
    <w:rsid w:val="00C73C4E"/>
    <w:rsid w:val="00C74CAB"/>
    <w:rsid w:val="00C75AAF"/>
    <w:rsid w:val="00C762A7"/>
    <w:rsid w:val="00C7658D"/>
    <w:rsid w:val="00C771F6"/>
    <w:rsid w:val="00C778C1"/>
    <w:rsid w:val="00C77D82"/>
    <w:rsid w:val="00C800C4"/>
    <w:rsid w:val="00C80C51"/>
    <w:rsid w:val="00C80C8A"/>
    <w:rsid w:val="00C81273"/>
    <w:rsid w:val="00C815A6"/>
    <w:rsid w:val="00C81995"/>
    <w:rsid w:val="00C81E4F"/>
    <w:rsid w:val="00C842DB"/>
    <w:rsid w:val="00C85B48"/>
    <w:rsid w:val="00C85EED"/>
    <w:rsid w:val="00C90D3A"/>
    <w:rsid w:val="00C91C48"/>
    <w:rsid w:val="00C92635"/>
    <w:rsid w:val="00C92EA9"/>
    <w:rsid w:val="00C93C95"/>
    <w:rsid w:val="00C93F27"/>
    <w:rsid w:val="00C9401F"/>
    <w:rsid w:val="00C94165"/>
    <w:rsid w:val="00C9541D"/>
    <w:rsid w:val="00C962C1"/>
    <w:rsid w:val="00C973BB"/>
    <w:rsid w:val="00C97532"/>
    <w:rsid w:val="00CA1377"/>
    <w:rsid w:val="00CA15DC"/>
    <w:rsid w:val="00CA1A19"/>
    <w:rsid w:val="00CA2528"/>
    <w:rsid w:val="00CA30DF"/>
    <w:rsid w:val="00CA4E36"/>
    <w:rsid w:val="00CA65BF"/>
    <w:rsid w:val="00CA70DA"/>
    <w:rsid w:val="00CA76E2"/>
    <w:rsid w:val="00CB02F0"/>
    <w:rsid w:val="00CB03F7"/>
    <w:rsid w:val="00CB0C07"/>
    <w:rsid w:val="00CB120A"/>
    <w:rsid w:val="00CB1323"/>
    <w:rsid w:val="00CB1AA6"/>
    <w:rsid w:val="00CB335A"/>
    <w:rsid w:val="00CB4584"/>
    <w:rsid w:val="00CB574F"/>
    <w:rsid w:val="00CB736E"/>
    <w:rsid w:val="00CC0ACB"/>
    <w:rsid w:val="00CC1E04"/>
    <w:rsid w:val="00CC2ECD"/>
    <w:rsid w:val="00CC4434"/>
    <w:rsid w:val="00CC55AD"/>
    <w:rsid w:val="00CC5922"/>
    <w:rsid w:val="00CC5D45"/>
    <w:rsid w:val="00CC64B7"/>
    <w:rsid w:val="00CC6B26"/>
    <w:rsid w:val="00CC6E17"/>
    <w:rsid w:val="00CD11DC"/>
    <w:rsid w:val="00CD1802"/>
    <w:rsid w:val="00CD1AF2"/>
    <w:rsid w:val="00CD1CC7"/>
    <w:rsid w:val="00CD1E21"/>
    <w:rsid w:val="00CD3FE9"/>
    <w:rsid w:val="00CD42E7"/>
    <w:rsid w:val="00CD54BD"/>
    <w:rsid w:val="00CD5930"/>
    <w:rsid w:val="00CD597C"/>
    <w:rsid w:val="00CD6669"/>
    <w:rsid w:val="00CD78D4"/>
    <w:rsid w:val="00CE0498"/>
    <w:rsid w:val="00CE1191"/>
    <w:rsid w:val="00CE15AE"/>
    <w:rsid w:val="00CE202F"/>
    <w:rsid w:val="00CE46B5"/>
    <w:rsid w:val="00CE5736"/>
    <w:rsid w:val="00CE6312"/>
    <w:rsid w:val="00CE6554"/>
    <w:rsid w:val="00CE6959"/>
    <w:rsid w:val="00CE6E3D"/>
    <w:rsid w:val="00CE6E64"/>
    <w:rsid w:val="00CE75B0"/>
    <w:rsid w:val="00CE78BA"/>
    <w:rsid w:val="00CE7A3D"/>
    <w:rsid w:val="00CF0417"/>
    <w:rsid w:val="00CF2B84"/>
    <w:rsid w:val="00CF3CBE"/>
    <w:rsid w:val="00CF7BCE"/>
    <w:rsid w:val="00D01ABF"/>
    <w:rsid w:val="00D03B6B"/>
    <w:rsid w:val="00D04F98"/>
    <w:rsid w:val="00D05847"/>
    <w:rsid w:val="00D065C0"/>
    <w:rsid w:val="00D065E1"/>
    <w:rsid w:val="00D06D64"/>
    <w:rsid w:val="00D102CF"/>
    <w:rsid w:val="00D122F9"/>
    <w:rsid w:val="00D151DC"/>
    <w:rsid w:val="00D15AE9"/>
    <w:rsid w:val="00D15D24"/>
    <w:rsid w:val="00D21824"/>
    <w:rsid w:val="00D218FA"/>
    <w:rsid w:val="00D26F41"/>
    <w:rsid w:val="00D301C4"/>
    <w:rsid w:val="00D3142D"/>
    <w:rsid w:val="00D317E7"/>
    <w:rsid w:val="00D322EB"/>
    <w:rsid w:val="00D324FB"/>
    <w:rsid w:val="00D32F93"/>
    <w:rsid w:val="00D33293"/>
    <w:rsid w:val="00D357C7"/>
    <w:rsid w:val="00D35E10"/>
    <w:rsid w:val="00D35E1F"/>
    <w:rsid w:val="00D360A9"/>
    <w:rsid w:val="00D36578"/>
    <w:rsid w:val="00D36E6D"/>
    <w:rsid w:val="00D372B1"/>
    <w:rsid w:val="00D40B05"/>
    <w:rsid w:val="00D40FD3"/>
    <w:rsid w:val="00D434A6"/>
    <w:rsid w:val="00D447FC"/>
    <w:rsid w:val="00D454FC"/>
    <w:rsid w:val="00D45DD4"/>
    <w:rsid w:val="00D46E0D"/>
    <w:rsid w:val="00D46E78"/>
    <w:rsid w:val="00D46F83"/>
    <w:rsid w:val="00D47BE2"/>
    <w:rsid w:val="00D47F4E"/>
    <w:rsid w:val="00D5053F"/>
    <w:rsid w:val="00D50650"/>
    <w:rsid w:val="00D51FB3"/>
    <w:rsid w:val="00D52BB3"/>
    <w:rsid w:val="00D54DF5"/>
    <w:rsid w:val="00D56CA7"/>
    <w:rsid w:val="00D57D6A"/>
    <w:rsid w:val="00D57D8D"/>
    <w:rsid w:val="00D57F3E"/>
    <w:rsid w:val="00D62977"/>
    <w:rsid w:val="00D64CD0"/>
    <w:rsid w:val="00D65BA8"/>
    <w:rsid w:val="00D6636A"/>
    <w:rsid w:val="00D667EF"/>
    <w:rsid w:val="00D667F8"/>
    <w:rsid w:val="00D66A96"/>
    <w:rsid w:val="00D67B8A"/>
    <w:rsid w:val="00D67BA6"/>
    <w:rsid w:val="00D67BD5"/>
    <w:rsid w:val="00D715C1"/>
    <w:rsid w:val="00D72530"/>
    <w:rsid w:val="00D72A45"/>
    <w:rsid w:val="00D730AD"/>
    <w:rsid w:val="00D7340F"/>
    <w:rsid w:val="00D7398C"/>
    <w:rsid w:val="00D73F7A"/>
    <w:rsid w:val="00D7541E"/>
    <w:rsid w:val="00D7617C"/>
    <w:rsid w:val="00D7672E"/>
    <w:rsid w:val="00D8061C"/>
    <w:rsid w:val="00D823FA"/>
    <w:rsid w:val="00D82E30"/>
    <w:rsid w:val="00D835AE"/>
    <w:rsid w:val="00D83B70"/>
    <w:rsid w:val="00D84F1F"/>
    <w:rsid w:val="00D85618"/>
    <w:rsid w:val="00D86BF1"/>
    <w:rsid w:val="00D86CA6"/>
    <w:rsid w:val="00D86D6F"/>
    <w:rsid w:val="00D87F98"/>
    <w:rsid w:val="00D90CD7"/>
    <w:rsid w:val="00D93FD1"/>
    <w:rsid w:val="00D95488"/>
    <w:rsid w:val="00D963AE"/>
    <w:rsid w:val="00D96A58"/>
    <w:rsid w:val="00D97665"/>
    <w:rsid w:val="00D978F9"/>
    <w:rsid w:val="00D97D85"/>
    <w:rsid w:val="00DA0F64"/>
    <w:rsid w:val="00DA2361"/>
    <w:rsid w:val="00DA2C66"/>
    <w:rsid w:val="00DA382F"/>
    <w:rsid w:val="00DA3B97"/>
    <w:rsid w:val="00DA50EE"/>
    <w:rsid w:val="00DA6AAD"/>
    <w:rsid w:val="00DA7E1A"/>
    <w:rsid w:val="00DB073E"/>
    <w:rsid w:val="00DB0B65"/>
    <w:rsid w:val="00DB27B3"/>
    <w:rsid w:val="00DB2C26"/>
    <w:rsid w:val="00DB3DEE"/>
    <w:rsid w:val="00DB4B0B"/>
    <w:rsid w:val="00DB526D"/>
    <w:rsid w:val="00DB546C"/>
    <w:rsid w:val="00DB5EC5"/>
    <w:rsid w:val="00DB68EB"/>
    <w:rsid w:val="00DB73FB"/>
    <w:rsid w:val="00DC0644"/>
    <w:rsid w:val="00DC1388"/>
    <w:rsid w:val="00DC2535"/>
    <w:rsid w:val="00DC2FFF"/>
    <w:rsid w:val="00DC581A"/>
    <w:rsid w:val="00DC5A47"/>
    <w:rsid w:val="00DD0E64"/>
    <w:rsid w:val="00DD1BA4"/>
    <w:rsid w:val="00DD2689"/>
    <w:rsid w:val="00DD2D33"/>
    <w:rsid w:val="00DD3585"/>
    <w:rsid w:val="00DD404F"/>
    <w:rsid w:val="00DD5475"/>
    <w:rsid w:val="00DD70DA"/>
    <w:rsid w:val="00DE03A2"/>
    <w:rsid w:val="00DE049A"/>
    <w:rsid w:val="00DE1C39"/>
    <w:rsid w:val="00DE29C1"/>
    <w:rsid w:val="00DE2ABD"/>
    <w:rsid w:val="00DE3930"/>
    <w:rsid w:val="00DE3D85"/>
    <w:rsid w:val="00DE64FF"/>
    <w:rsid w:val="00DE6E56"/>
    <w:rsid w:val="00DE6EE4"/>
    <w:rsid w:val="00DF1015"/>
    <w:rsid w:val="00DF110B"/>
    <w:rsid w:val="00DF175E"/>
    <w:rsid w:val="00DF1881"/>
    <w:rsid w:val="00DF3C82"/>
    <w:rsid w:val="00DF419A"/>
    <w:rsid w:val="00DF5D7F"/>
    <w:rsid w:val="00DF6C11"/>
    <w:rsid w:val="00DF6E49"/>
    <w:rsid w:val="00DF793C"/>
    <w:rsid w:val="00DF7FA6"/>
    <w:rsid w:val="00E00189"/>
    <w:rsid w:val="00E0060C"/>
    <w:rsid w:val="00E00A37"/>
    <w:rsid w:val="00E00DC5"/>
    <w:rsid w:val="00E011B7"/>
    <w:rsid w:val="00E03166"/>
    <w:rsid w:val="00E0512B"/>
    <w:rsid w:val="00E06ABD"/>
    <w:rsid w:val="00E07CF1"/>
    <w:rsid w:val="00E122A5"/>
    <w:rsid w:val="00E12966"/>
    <w:rsid w:val="00E12A89"/>
    <w:rsid w:val="00E12B2F"/>
    <w:rsid w:val="00E12F63"/>
    <w:rsid w:val="00E13986"/>
    <w:rsid w:val="00E13AB5"/>
    <w:rsid w:val="00E15A70"/>
    <w:rsid w:val="00E15CA6"/>
    <w:rsid w:val="00E21849"/>
    <w:rsid w:val="00E2244D"/>
    <w:rsid w:val="00E231B4"/>
    <w:rsid w:val="00E243C6"/>
    <w:rsid w:val="00E24D53"/>
    <w:rsid w:val="00E254B6"/>
    <w:rsid w:val="00E2656A"/>
    <w:rsid w:val="00E2696D"/>
    <w:rsid w:val="00E26ECD"/>
    <w:rsid w:val="00E276E5"/>
    <w:rsid w:val="00E30999"/>
    <w:rsid w:val="00E31223"/>
    <w:rsid w:val="00E31902"/>
    <w:rsid w:val="00E3292F"/>
    <w:rsid w:val="00E3305F"/>
    <w:rsid w:val="00E343EF"/>
    <w:rsid w:val="00E34429"/>
    <w:rsid w:val="00E365FD"/>
    <w:rsid w:val="00E36BAA"/>
    <w:rsid w:val="00E37AF2"/>
    <w:rsid w:val="00E400A0"/>
    <w:rsid w:val="00E41663"/>
    <w:rsid w:val="00E426AE"/>
    <w:rsid w:val="00E4281A"/>
    <w:rsid w:val="00E4321F"/>
    <w:rsid w:val="00E44E06"/>
    <w:rsid w:val="00E45497"/>
    <w:rsid w:val="00E46F37"/>
    <w:rsid w:val="00E47183"/>
    <w:rsid w:val="00E47E09"/>
    <w:rsid w:val="00E50349"/>
    <w:rsid w:val="00E503A8"/>
    <w:rsid w:val="00E51963"/>
    <w:rsid w:val="00E51B47"/>
    <w:rsid w:val="00E522EF"/>
    <w:rsid w:val="00E53011"/>
    <w:rsid w:val="00E53E11"/>
    <w:rsid w:val="00E5548D"/>
    <w:rsid w:val="00E556E0"/>
    <w:rsid w:val="00E56F5D"/>
    <w:rsid w:val="00E57DB7"/>
    <w:rsid w:val="00E60AF8"/>
    <w:rsid w:val="00E62969"/>
    <w:rsid w:val="00E633A2"/>
    <w:rsid w:val="00E64391"/>
    <w:rsid w:val="00E6481C"/>
    <w:rsid w:val="00E65B87"/>
    <w:rsid w:val="00E6713E"/>
    <w:rsid w:val="00E67861"/>
    <w:rsid w:val="00E702F0"/>
    <w:rsid w:val="00E7172F"/>
    <w:rsid w:val="00E72681"/>
    <w:rsid w:val="00E72825"/>
    <w:rsid w:val="00E74533"/>
    <w:rsid w:val="00E74C14"/>
    <w:rsid w:val="00E74C1E"/>
    <w:rsid w:val="00E759E8"/>
    <w:rsid w:val="00E75F21"/>
    <w:rsid w:val="00E76B58"/>
    <w:rsid w:val="00E808D7"/>
    <w:rsid w:val="00E80FDD"/>
    <w:rsid w:val="00E820D9"/>
    <w:rsid w:val="00E82FCA"/>
    <w:rsid w:val="00E83069"/>
    <w:rsid w:val="00E84556"/>
    <w:rsid w:val="00E85498"/>
    <w:rsid w:val="00E8637C"/>
    <w:rsid w:val="00E863D4"/>
    <w:rsid w:val="00E864FB"/>
    <w:rsid w:val="00E90FFA"/>
    <w:rsid w:val="00E92F73"/>
    <w:rsid w:val="00E93CD5"/>
    <w:rsid w:val="00E9450D"/>
    <w:rsid w:val="00E94880"/>
    <w:rsid w:val="00E97A6C"/>
    <w:rsid w:val="00EA2EC8"/>
    <w:rsid w:val="00EA33E4"/>
    <w:rsid w:val="00EA38C7"/>
    <w:rsid w:val="00EA51AB"/>
    <w:rsid w:val="00EB2137"/>
    <w:rsid w:val="00EB2CC3"/>
    <w:rsid w:val="00EB360A"/>
    <w:rsid w:val="00EB39D3"/>
    <w:rsid w:val="00EB565C"/>
    <w:rsid w:val="00EC025D"/>
    <w:rsid w:val="00EC041F"/>
    <w:rsid w:val="00EC10F7"/>
    <w:rsid w:val="00EC1485"/>
    <w:rsid w:val="00EC2385"/>
    <w:rsid w:val="00EC2C5E"/>
    <w:rsid w:val="00EC33A0"/>
    <w:rsid w:val="00EC4E0F"/>
    <w:rsid w:val="00EC4F6C"/>
    <w:rsid w:val="00EC6D77"/>
    <w:rsid w:val="00EC782A"/>
    <w:rsid w:val="00EC78E2"/>
    <w:rsid w:val="00EC7BD4"/>
    <w:rsid w:val="00ED1F0A"/>
    <w:rsid w:val="00ED3D98"/>
    <w:rsid w:val="00ED5706"/>
    <w:rsid w:val="00ED5B6C"/>
    <w:rsid w:val="00ED5C12"/>
    <w:rsid w:val="00ED5E46"/>
    <w:rsid w:val="00ED6761"/>
    <w:rsid w:val="00ED6B77"/>
    <w:rsid w:val="00ED6BC0"/>
    <w:rsid w:val="00ED75BB"/>
    <w:rsid w:val="00ED7A9F"/>
    <w:rsid w:val="00EE01EF"/>
    <w:rsid w:val="00EE114F"/>
    <w:rsid w:val="00EE2476"/>
    <w:rsid w:val="00EE293A"/>
    <w:rsid w:val="00EE2B3A"/>
    <w:rsid w:val="00EE2C88"/>
    <w:rsid w:val="00EE328D"/>
    <w:rsid w:val="00EE3A02"/>
    <w:rsid w:val="00EE417B"/>
    <w:rsid w:val="00EE5F4F"/>
    <w:rsid w:val="00EE6696"/>
    <w:rsid w:val="00EE6855"/>
    <w:rsid w:val="00EE6B89"/>
    <w:rsid w:val="00EE77C0"/>
    <w:rsid w:val="00EF09E6"/>
    <w:rsid w:val="00EF27B0"/>
    <w:rsid w:val="00EF3210"/>
    <w:rsid w:val="00EF43A8"/>
    <w:rsid w:val="00EF4B71"/>
    <w:rsid w:val="00EF5209"/>
    <w:rsid w:val="00EF5A2A"/>
    <w:rsid w:val="00EF611D"/>
    <w:rsid w:val="00EF660C"/>
    <w:rsid w:val="00EF7E1F"/>
    <w:rsid w:val="00F0089B"/>
    <w:rsid w:val="00F03171"/>
    <w:rsid w:val="00F03732"/>
    <w:rsid w:val="00F03B01"/>
    <w:rsid w:val="00F03C73"/>
    <w:rsid w:val="00F05EE1"/>
    <w:rsid w:val="00F063E8"/>
    <w:rsid w:val="00F06605"/>
    <w:rsid w:val="00F069F8"/>
    <w:rsid w:val="00F11EC4"/>
    <w:rsid w:val="00F132F9"/>
    <w:rsid w:val="00F14CEE"/>
    <w:rsid w:val="00F16B29"/>
    <w:rsid w:val="00F17451"/>
    <w:rsid w:val="00F1787E"/>
    <w:rsid w:val="00F20733"/>
    <w:rsid w:val="00F2116C"/>
    <w:rsid w:val="00F21B39"/>
    <w:rsid w:val="00F2231B"/>
    <w:rsid w:val="00F2311C"/>
    <w:rsid w:val="00F248CE"/>
    <w:rsid w:val="00F2625A"/>
    <w:rsid w:val="00F26B11"/>
    <w:rsid w:val="00F273E5"/>
    <w:rsid w:val="00F27679"/>
    <w:rsid w:val="00F32BC7"/>
    <w:rsid w:val="00F32C65"/>
    <w:rsid w:val="00F36005"/>
    <w:rsid w:val="00F36BA7"/>
    <w:rsid w:val="00F40C8F"/>
    <w:rsid w:val="00F4147E"/>
    <w:rsid w:val="00F42C4E"/>
    <w:rsid w:val="00F45401"/>
    <w:rsid w:val="00F469C7"/>
    <w:rsid w:val="00F46C84"/>
    <w:rsid w:val="00F46E2E"/>
    <w:rsid w:val="00F5223E"/>
    <w:rsid w:val="00F5365F"/>
    <w:rsid w:val="00F53F82"/>
    <w:rsid w:val="00F5448D"/>
    <w:rsid w:val="00F56064"/>
    <w:rsid w:val="00F56293"/>
    <w:rsid w:val="00F56F22"/>
    <w:rsid w:val="00F57BB9"/>
    <w:rsid w:val="00F63615"/>
    <w:rsid w:val="00F660FC"/>
    <w:rsid w:val="00F66B29"/>
    <w:rsid w:val="00F67E26"/>
    <w:rsid w:val="00F70EC2"/>
    <w:rsid w:val="00F72045"/>
    <w:rsid w:val="00F739BF"/>
    <w:rsid w:val="00F73C27"/>
    <w:rsid w:val="00F741FB"/>
    <w:rsid w:val="00F75722"/>
    <w:rsid w:val="00F762DD"/>
    <w:rsid w:val="00F77142"/>
    <w:rsid w:val="00F80A95"/>
    <w:rsid w:val="00F80BB0"/>
    <w:rsid w:val="00F80C01"/>
    <w:rsid w:val="00F8177A"/>
    <w:rsid w:val="00F81E58"/>
    <w:rsid w:val="00F83DC6"/>
    <w:rsid w:val="00F847A9"/>
    <w:rsid w:val="00F8482F"/>
    <w:rsid w:val="00F84AB7"/>
    <w:rsid w:val="00F85525"/>
    <w:rsid w:val="00F85867"/>
    <w:rsid w:val="00F9029B"/>
    <w:rsid w:val="00F91129"/>
    <w:rsid w:val="00F92034"/>
    <w:rsid w:val="00F927F5"/>
    <w:rsid w:val="00F9322D"/>
    <w:rsid w:val="00F938D1"/>
    <w:rsid w:val="00F95B48"/>
    <w:rsid w:val="00F96136"/>
    <w:rsid w:val="00F96446"/>
    <w:rsid w:val="00F96D46"/>
    <w:rsid w:val="00F97A31"/>
    <w:rsid w:val="00F97B5E"/>
    <w:rsid w:val="00FA00D3"/>
    <w:rsid w:val="00FA0ADF"/>
    <w:rsid w:val="00FA2451"/>
    <w:rsid w:val="00FA2FB7"/>
    <w:rsid w:val="00FA371E"/>
    <w:rsid w:val="00FA4633"/>
    <w:rsid w:val="00FA4E73"/>
    <w:rsid w:val="00FA53D9"/>
    <w:rsid w:val="00FA69D2"/>
    <w:rsid w:val="00FA6C18"/>
    <w:rsid w:val="00FB07BC"/>
    <w:rsid w:val="00FB1519"/>
    <w:rsid w:val="00FB1644"/>
    <w:rsid w:val="00FB1D12"/>
    <w:rsid w:val="00FB5327"/>
    <w:rsid w:val="00FB6081"/>
    <w:rsid w:val="00FB733D"/>
    <w:rsid w:val="00FB7EAB"/>
    <w:rsid w:val="00FC0660"/>
    <w:rsid w:val="00FC09EE"/>
    <w:rsid w:val="00FC0D8B"/>
    <w:rsid w:val="00FC0E00"/>
    <w:rsid w:val="00FC19FE"/>
    <w:rsid w:val="00FC1D2A"/>
    <w:rsid w:val="00FC2D17"/>
    <w:rsid w:val="00FC34A5"/>
    <w:rsid w:val="00FC3D6C"/>
    <w:rsid w:val="00FC46BB"/>
    <w:rsid w:val="00FC49B0"/>
    <w:rsid w:val="00FC6831"/>
    <w:rsid w:val="00FD086C"/>
    <w:rsid w:val="00FD173A"/>
    <w:rsid w:val="00FD4505"/>
    <w:rsid w:val="00FD6516"/>
    <w:rsid w:val="00FD6DDE"/>
    <w:rsid w:val="00FD6E9E"/>
    <w:rsid w:val="00FD7F22"/>
    <w:rsid w:val="00FD7FBE"/>
    <w:rsid w:val="00FE05A8"/>
    <w:rsid w:val="00FE12B5"/>
    <w:rsid w:val="00FE22E7"/>
    <w:rsid w:val="00FE313D"/>
    <w:rsid w:val="00FE4565"/>
    <w:rsid w:val="00FE4A97"/>
    <w:rsid w:val="00FE52C3"/>
    <w:rsid w:val="00FE5DBE"/>
    <w:rsid w:val="00FE644D"/>
    <w:rsid w:val="00FE7006"/>
    <w:rsid w:val="00FE7671"/>
    <w:rsid w:val="00FF1452"/>
    <w:rsid w:val="00FF2ACE"/>
    <w:rsid w:val="00FF2D2D"/>
    <w:rsid w:val="00FF3981"/>
    <w:rsid w:val="00FF4C14"/>
    <w:rsid w:val="00FF51F4"/>
    <w:rsid w:val="00FF5328"/>
    <w:rsid w:val="00FF5700"/>
    <w:rsid w:val="00FF5B1C"/>
    <w:rsid w:val="00FF5CC9"/>
    <w:rsid w:val="01366268"/>
    <w:rsid w:val="018F5DC4"/>
    <w:rsid w:val="020D3591"/>
    <w:rsid w:val="04E00820"/>
    <w:rsid w:val="06044B51"/>
    <w:rsid w:val="06F05D3C"/>
    <w:rsid w:val="07D61122"/>
    <w:rsid w:val="07EE2D36"/>
    <w:rsid w:val="08E240F2"/>
    <w:rsid w:val="0966202B"/>
    <w:rsid w:val="0AD57E3A"/>
    <w:rsid w:val="0BB530F4"/>
    <w:rsid w:val="0C0033C7"/>
    <w:rsid w:val="0C844BB8"/>
    <w:rsid w:val="0CB33C02"/>
    <w:rsid w:val="0D2C52FF"/>
    <w:rsid w:val="0E3E7DCF"/>
    <w:rsid w:val="1038587F"/>
    <w:rsid w:val="107A6D09"/>
    <w:rsid w:val="13E14656"/>
    <w:rsid w:val="16565B62"/>
    <w:rsid w:val="16C830D1"/>
    <w:rsid w:val="17735D78"/>
    <w:rsid w:val="17C504B1"/>
    <w:rsid w:val="1822232A"/>
    <w:rsid w:val="184E3A86"/>
    <w:rsid w:val="18E33014"/>
    <w:rsid w:val="1913160E"/>
    <w:rsid w:val="19854614"/>
    <w:rsid w:val="1AE34153"/>
    <w:rsid w:val="1C1E3E69"/>
    <w:rsid w:val="1EFF1906"/>
    <w:rsid w:val="1F330B30"/>
    <w:rsid w:val="207F6B34"/>
    <w:rsid w:val="21F40B2C"/>
    <w:rsid w:val="23791794"/>
    <w:rsid w:val="2415277D"/>
    <w:rsid w:val="27C47436"/>
    <w:rsid w:val="27D53382"/>
    <w:rsid w:val="281F57B3"/>
    <w:rsid w:val="28920B82"/>
    <w:rsid w:val="2910149B"/>
    <w:rsid w:val="29624D47"/>
    <w:rsid w:val="2AB503DE"/>
    <w:rsid w:val="2D1B56C4"/>
    <w:rsid w:val="2D6D434F"/>
    <w:rsid w:val="2EF84E8B"/>
    <w:rsid w:val="2FFA5215"/>
    <w:rsid w:val="32F53FD7"/>
    <w:rsid w:val="33104AE7"/>
    <w:rsid w:val="3363780B"/>
    <w:rsid w:val="37FC6ADB"/>
    <w:rsid w:val="3946380B"/>
    <w:rsid w:val="395742D0"/>
    <w:rsid w:val="3BC57686"/>
    <w:rsid w:val="3BFF17BB"/>
    <w:rsid w:val="3D6C0DB9"/>
    <w:rsid w:val="3D8B6476"/>
    <w:rsid w:val="40BE598D"/>
    <w:rsid w:val="41BD6A09"/>
    <w:rsid w:val="428A795B"/>
    <w:rsid w:val="434A26B5"/>
    <w:rsid w:val="4402311F"/>
    <w:rsid w:val="451C2CAF"/>
    <w:rsid w:val="458229BB"/>
    <w:rsid w:val="46616579"/>
    <w:rsid w:val="47606C7A"/>
    <w:rsid w:val="47713F84"/>
    <w:rsid w:val="47CE3537"/>
    <w:rsid w:val="482426FF"/>
    <w:rsid w:val="4AEB3586"/>
    <w:rsid w:val="4B507C73"/>
    <w:rsid w:val="4C111B19"/>
    <w:rsid w:val="4C372C07"/>
    <w:rsid w:val="4CE86CEA"/>
    <w:rsid w:val="4CFF0256"/>
    <w:rsid w:val="4D8169AA"/>
    <w:rsid w:val="4DE61B8B"/>
    <w:rsid w:val="4EFC1157"/>
    <w:rsid w:val="4F1574CA"/>
    <w:rsid w:val="4FB44D15"/>
    <w:rsid w:val="506F0432"/>
    <w:rsid w:val="56F55F20"/>
    <w:rsid w:val="578C05B7"/>
    <w:rsid w:val="57D1419E"/>
    <w:rsid w:val="58A670C4"/>
    <w:rsid w:val="59B260DF"/>
    <w:rsid w:val="5AE53ABE"/>
    <w:rsid w:val="5D9334C7"/>
    <w:rsid w:val="61083307"/>
    <w:rsid w:val="611D7E18"/>
    <w:rsid w:val="61DB2BE2"/>
    <w:rsid w:val="689230DE"/>
    <w:rsid w:val="6AB7572D"/>
    <w:rsid w:val="6B251465"/>
    <w:rsid w:val="6B4A731D"/>
    <w:rsid w:val="6B9A032B"/>
    <w:rsid w:val="6C1D6F0A"/>
    <w:rsid w:val="74524DF1"/>
    <w:rsid w:val="760969C0"/>
    <w:rsid w:val="76D04CAD"/>
    <w:rsid w:val="78491273"/>
    <w:rsid w:val="7C1A3586"/>
    <w:rsid w:val="7C4E5C35"/>
    <w:rsid w:val="7ED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10"/>
    <w:link w:val="3"/>
    <w:semiHidden/>
    <w:qFormat/>
    <w:uiPriority w:val="99"/>
    <w:rPr>
      <w:rFonts w:ascii="Calibri" w:hAnsi="Calibri" w:eastAsia="宋体" w:cs="Times New Roman"/>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0"/>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D30E-A875-49B9-B301-D4A666B6C54C}">
  <ds:schemaRefs/>
</ds:datastoreItem>
</file>

<file path=docProps/app.xml><?xml version="1.0" encoding="utf-8"?>
<Properties xmlns="http://schemas.openxmlformats.org/officeDocument/2006/extended-properties" xmlns:vt="http://schemas.openxmlformats.org/officeDocument/2006/docPropsVTypes">
  <Template>Normal</Template>
  <Pages>11</Pages>
  <Words>1050</Words>
  <Characters>5989</Characters>
  <Lines>49</Lines>
  <Paragraphs>14</Paragraphs>
  <TotalTime>29</TotalTime>
  <ScaleCrop>false</ScaleCrop>
  <LinksUpToDate>false</LinksUpToDate>
  <CharactersWithSpaces>7025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2018-07-31T08:44:00Z</dcterms:created>
  <dc:creator>Ivy</dc:creator>
  <cp:lastModifiedBy>Administrator</cp:lastModifiedBy>
  <cp:lastPrinted>2023-01-12T01:00:00Z</cp:lastPrinted>
  <dcterms:modified xsi:type="dcterms:W3CDTF">2023-04-04T00:59:39Z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