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D2" w:rsidRDefault="00016226" w:rsidP="00446238">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附表一：</w:t>
      </w:r>
      <w:r>
        <w:rPr>
          <w:rFonts w:ascii="仿宋_GB2312" w:eastAsia="仿宋_GB2312" w:hAnsi="宋体" w:cs="宋体" w:hint="eastAsia"/>
          <w:b/>
          <w:bCs/>
          <w:color w:val="000000"/>
          <w:kern w:val="0"/>
          <w:sz w:val="22"/>
        </w:rPr>
        <w:t xml:space="preserve">KM1 </w:t>
      </w:r>
      <w:r>
        <w:rPr>
          <w:rFonts w:ascii="仿宋_GB2312" w:eastAsia="仿宋_GB2312" w:hAnsi="宋体" w:cs="宋体" w:hint="eastAsia"/>
          <w:b/>
          <w:bCs/>
          <w:color w:val="000000"/>
          <w:kern w:val="0"/>
          <w:sz w:val="22"/>
        </w:rPr>
        <w:t>监管并表关键审慎监管指标</w:t>
      </w:r>
    </w:p>
    <w:p w:rsidR="00C232D2" w:rsidRDefault="00016226" w:rsidP="00446238">
      <w:pPr>
        <w:jc w:val="right"/>
        <w:rPr>
          <w:rFonts w:ascii="仿宋_GB2312" w:eastAsia="仿宋_GB2312" w:hAnsi="宋体" w:cs="宋体"/>
          <w:b/>
          <w:bCs/>
          <w:color w:val="000000"/>
          <w:kern w:val="0"/>
          <w:sz w:val="22"/>
        </w:rPr>
      </w:pPr>
      <w:r>
        <w:rPr>
          <w:rFonts w:ascii="仿宋_GB2312" w:eastAsia="仿宋_GB2312" w:hAnsi="仿宋" w:hint="eastAsia"/>
          <w:b/>
          <w:szCs w:val="21"/>
        </w:rPr>
        <w:t>单位：万元，</w:t>
      </w:r>
      <w:r>
        <w:rPr>
          <w:rFonts w:ascii="仿宋_GB2312" w:eastAsia="仿宋_GB2312" w:hAnsi="仿宋" w:hint="eastAsia"/>
          <w:b/>
          <w:szCs w:val="21"/>
        </w:rPr>
        <w:t>%</w:t>
      </w:r>
    </w:p>
    <w:tbl>
      <w:tblPr>
        <w:tblpPr w:leftFromText="180" w:rightFromText="180" w:vertAnchor="text" w:horzAnchor="page" w:tblpX="1877" w:tblpY="294"/>
        <w:tblOverlap w:val="never"/>
        <w:tblW w:w="8427" w:type="dxa"/>
        <w:tblLook w:val="04A0"/>
      </w:tblPr>
      <w:tblGrid>
        <w:gridCol w:w="824"/>
        <w:gridCol w:w="2626"/>
        <w:gridCol w:w="1659"/>
        <w:gridCol w:w="1659"/>
        <w:gridCol w:w="1659"/>
      </w:tblGrid>
      <w:tr w:rsidR="00C232D2">
        <w:trPr>
          <w:trHeight w:val="285"/>
        </w:trPr>
        <w:tc>
          <w:tcPr>
            <w:tcW w:w="345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C232D2" w:rsidRDefault="00016226">
            <w:pPr>
              <w:widowControl/>
              <w:jc w:val="center"/>
              <w:textAlignment w:val="center"/>
              <w:rPr>
                <w:rFonts w:ascii="仿宋_GB2312" w:eastAsia="仿宋_GB2312" w:hAnsi="宋体" w:cs="宋体"/>
                <w:b/>
                <w:bCs/>
                <w:color w:val="000000"/>
                <w:kern w:val="0"/>
                <w:sz w:val="22"/>
              </w:rPr>
            </w:pPr>
            <w:r>
              <w:rPr>
                <w:rFonts w:ascii="仿宋_GB2312" w:eastAsia="仿宋_GB2312" w:hAnsi="宋体" w:cs="仿宋_GB2312" w:hint="eastAsia"/>
                <w:b/>
                <w:bCs/>
                <w:color w:val="000000"/>
                <w:kern w:val="0"/>
                <w:sz w:val="22"/>
                <w:lang/>
              </w:rPr>
              <w:t>项目</w:t>
            </w:r>
          </w:p>
        </w:tc>
        <w:tc>
          <w:tcPr>
            <w:tcW w:w="1659" w:type="dxa"/>
            <w:tcBorders>
              <w:top w:val="single" w:sz="8" w:space="0" w:color="auto"/>
              <w:left w:val="nil"/>
              <w:bottom w:val="single" w:sz="8" w:space="0" w:color="auto"/>
              <w:right w:val="single" w:sz="8" w:space="0" w:color="auto"/>
            </w:tcBorders>
            <w:shd w:val="clear" w:color="auto" w:fill="auto"/>
            <w:noWrap/>
            <w:vAlign w:val="center"/>
          </w:tcPr>
          <w:p w:rsidR="00C232D2" w:rsidRDefault="00016226">
            <w:pPr>
              <w:widowControl/>
              <w:jc w:val="center"/>
              <w:textAlignment w:val="center"/>
              <w:rPr>
                <w:rFonts w:ascii="仿宋_GB2312" w:eastAsia="仿宋_GB2312" w:hAnsi="宋体" w:cs="宋体"/>
                <w:b/>
                <w:bCs/>
                <w:color w:val="000000"/>
                <w:kern w:val="0"/>
                <w:sz w:val="22"/>
              </w:rPr>
            </w:pPr>
            <w:r>
              <w:rPr>
                <w:rFonts w:ascii="仿宋_GB2312" w:eastAsia="仿宋_GB2312" w:hAnsi="宋体" w:cs="仿宋_GB2312" w:hint="eastAsia"/>
                <w:b/>
                <w:bCs/>
                <w:color w:val="000000"/>
                <w:kern w:val="0"/>
                <w:sz w:val="22"/>
                <w:lang/>
              </w:rPr>
              <w:t>a</w:t>
            </w:r>
          </w:p>
        </w:tc>
        <w:tc>
          <w:tcPr>
            <w:tcW w:w="1659" w:type="dxa"/>
            <w:tcBorders>
              <w:top w:val="single" w:sz="8" w:space="0" w:color="auto"/>
              <w:left w:val="nil"/>
              <w:bottom w:val="single" w:sz="8" w:space="0" w:color="auto"/>
              <w:right w:val="single" w:sz="8" w:space="0" w:color="auto"/>
            </w:tcBorders>
            <w:shd w:val="clear" w:color="auto" w:fill="auto"/>
            <w:noWrap/>
            <w:vAlign w:val="center"/>
          </w:tcPr>
          <w:p w:rsidR="00C232D2" w:rsidRDefault="00016226">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b</w:t>
            </w:r>
          </w:p>
        </w:tc>
        <w:tc>
          <w:tcPr>
            <w:tcW w:w="1659" w:type="dxa"/>
            <w:tcBorders>
              <w:top w:val="single" w:sz="8" w:space="0" w:color="auto"/>
              <w:left w:val="nil"/>
              <w:bottom w:val="single" w:sz="8" w:space="0" w:color="auto"/>
              <w:right w:val="single" w:sz="8" w:space="0" w:color="auto"/>
            </w:tcBorders>
            <w:shd w:val="clear" w:color="auto" w:fill="auto"/>
            <w:noWrap/>
            <w:vAlign w:val="center"/>
          </w:tcPr>
          <w:p w:rsidR="00C232D2" w:rsidRDefault="00016226">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c</w:t>
            </w:r>
          </w:p>
        </w:tc>
      </w:tr>
      <w:tr w:rsidR="00C232D2">
        <w:trPr>
          <w:trHeight w:val="285"/>
        </w:trPr>
        <w:tc>
          <w:tcPr>
            <w:tcW w:w="3450" w:type="dxa"/>
            <w:gridSpan w:val="2"/>
            <w:vMerge/>
            <w:tcBorders>
              <w:top w:val="single" w:sz="8" w:space="0" w:color="auto"/>
              <w:left w:val="single" w:sz="8" w:space="0" w:color="auto"/>
              <w:bottom w:val="single" w:sz="8" w:space="0" w:color="000000"/>
              <w:right w:val="single" w:sz="8" w:space="0" w:color="000000"/>
            </w:tcBorders>
            <w:vAlign w:val="center"/>
          </w:tcPr>
          <w:p w:rsidR="00C232D2" w:rsidRDefault="00C232D2">
            <w:pPr>
              <w:widowControl/>
              <w:jc w:val="left"/>
              <w:rPr>
                <w:rFonts w:ascii="仿宋_GB2312" w:eastAsia="仿宋_GB2312" w:hAnsi="宋体" w:cs="宋体"/>
                <w:b/>
                <w:bCs/>
                <w:color w:val="000000"/>
                <w:kern w:val="0"/>
                <w:sz w:val="22"/>
              </w:rPr>
            </w:pP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b/>
                <w:bCs/>
                <w:color w:val="000000"/>
                <w:kern w:val="0"/>
                <w:sz w:val="22"/>
              </w:rPr>
            </w:pPr>
            <w:r>
              <w:rPr>
                <w:rFonts w:ascii="仿宋_GB2312" w:eastAsia="仿宋_GB2312" w:hAnsi="宋体" w:cs="仿宋_GB2312" w:hint="eastAsia"/>
                <w:b/>
                <w:bCs/>
                <w:color w:val="000000"/>
                <w:kern w:val="0"/>
                <w:sz w:val="22"/>
                <w:lang/>
              </w:rPr>
              <w:t>2024</w:t>
            </w:r>
            <w:r>
              <w:rPr>
                <w:rFonts w:ascii="仿宋_GB2312" w:eastAsia="仿宋_GB2312" w:hAnsi="宋体" w:cs="仿宋_GB2312" w:hint="eastAsia"/>
                <w:b/>
                <w:bCs/>
                <w:color w:val="000000"/>
                <w:kern w:val="0"/>
                <w:sz w:val="22"/>
                <w:lang/>
              </w:rPr>
              <w:t>年</w:t>
            </w:r>
            <w:r>
              <w:rPr>
                <w:rFonts w:ascii="仿宋_GB2312" w:eastAsia="仿宋_GB2312" w:hAnsi="宋体" w:cs="仿宋_GB2312" w:hint="eastAsia"/>
                <w:b/>
                <w:bCs/>
                <w:color w:val="000000"/>
                <w:kern w:val="0"/>
                <w:sz w:val="22"/>
                <w:lang/>
              </w:rPr>
              <w:t>9</w:t>
            </w:r>
            <w:r>
              <w:rPr>
                <w:rFonts w:ascii="仿宋_GB2312" w:eastAsia="仿宋_GB2312" w:hAnsi="宋体" w:cs="仿宋_GB2312" w:hint="eastAsia"/>
                <w:b/>
                <w:bCs/>
                <w:color w:val="000000"/>
                <w:kern w:val="0"/>
                <w:sz w:val="22"/>
                <w:lang/>
              </w:rPr>
              <w:t>月</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2024</w:t>
            </w:r>
            <w:r>
              <w:rPr>
                <w:rFonts w:ascii="仿宋_GB2312" w:eastAsia="仿宋_GB2312" w:hAnsi="宋体" w:cs="宋体" w:hint="eastAsia"/>
                <w:b/>
                <w:bCs/>
                <w:color w:val="000000"/>
                <w:kern w:val="0"/>
                <w:sz w:val="22"/>
              </w:rPr>
              <w:t>年</w:t>
            </w:r>
            <w:r>
              <w:rPr>
                <w:rFonts w:ascii="仿宋_GB2312" w:eastAsia="仿宋_GB2312" w:hAnsi="宋体" w:cs="宋体" w:hint="eastAsia"/>
                <w:b/>
                <w:bCs/>
                <w:color w:val="000000"/>
                <w:kern w:val="0"/>
                <w:sz w:val="22"/>
              </w:rPr>
              <w:t>6</w:t>
            </w:r>
            <w:r>
              <w:rPr>
                <w:rFonts w:ascii="仿宋_GB2312" w:eastAsia="仿宋_GB2312" w:hAnsi="宋体" w:cs="宋体" w:hint="eastAsia"/>
                <w:b/>
                <w:bCs/>
                <w:color w:val="000000"/>
                <w:kern w:val="0"/>
                <w:sz w:val="22"/>
              </w:rPr>
              <w:t>月</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2024</w:t>
            </w:r>
            <w:r>
              <w:rPr>
                <w:rFonts w:ascii="仿宋_GB2312" w:eastAsia="仿宋_GB2312" w:hAnsi="宋体" w:cs="宋体" w:hint="eastAsia"/>
                <w:b/>
                <w:bCs/>
                <w:color w:val="000000"/>
                <w:kern w:val="0"/>
                <w:sz w:val="22"/>
              </w:rPr>
              <w:t>年</w:t>
            </w:r>
            <w:r>
              <w:rPr>
                <w:rFonts w:ascii="仿宋_GB2312" w:eastAsia="仿宋_GB2312" w:hAnsi="宋体" w:cs="宋体" w:hint="eastAsia"/>
                <w:b/>
                <w:bCs/>
                <w:color w:val="000000"/>
                <w:kern w:val="0"/>
                <w:sz w:val="22"/>
              </w:rPr>
              <w:t>3</w:t>
            </w:r>
            <w:r>
              <w:rPr>
                <w:rFonts w:ascii="仿宋_GB2312" w:eastAsia="仿宋_GB2312" w:hAnsi="宋体" w:cs="宋体" w:hint="eastAsia"/>
                <w:b/>
                <w:bCs/>
                <w:color w:val="000000"/>
                <w:kern w:val="0"/>
                <w:sz w:val="22"/>
              </w:rPr>
              <w:t>月</w:t>
            </w:r>
          </w:p>
        </w:tc>
      </w:tr>
      <w:tr w:rsidR="00C232D2">
        <w:trPr>
          <w:trHeight w:val="247"/>
        </w:trPr>
        <w:tc>
          <w:tcPr>
            <w:tcW w:w="3450" w:type="dxa"/>
            <w:gridSpan w:val="2"/>
            <w:tcBorders>
              <w:top w:val="single" w:sz="8" w:space="0" w:color="auto"/>
              <w:left w:val="single" w:sz="8" w:space="0" w:color="auto"/>
              <w:bottom w:val="single" w:sz="8" w:space="0" w:color="auto"/>
              <w:right w:val="single" w:sz="8" w:space="0" w:color="auto"/>
            </w:tcBorders>
            <w:shd w:val="clear" w:color="000000" w:fill="D9D9D9"/>
          </w:tcPr>
          <w:p w:rsidR="00C232D2" w:rsidRDefault="00016226">
            <w:pPr>
              <w:jc w:val="left"/>
            </w:pPr>
            <w:r>
              <w:rPr>
                <w:rFonts w:ascii="仿宋_GB2312" w:eastAsia="仿宋_GB2312" w:hAnsi="宋体" w:cs="仿宋_GB2312" w:hint="eastAsia"/>
                <w:b/>
                <w:bCs/>
                <w:color w:val="000000"/>
                <w:kern w:val="0"/>
                <w:sz w:val="22"/>
                <w:lang/>
              </w:rPr>
              <w:t>可用资本（数额）</w:t>
            </w: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核心一级资本净额</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268,649.42</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263,143.98</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248,817.01</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2</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一级资本净额</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268,649.42</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263,143.98</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248,817.01</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3</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资本净额</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361,384.02</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355,461.79</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341</w:t>
            </w:r>
            <w:bookmarkStart w:id="0" w:name="_GoBack"/>
            <w:bookmarkEnd w:id="0"/>
            <w:r>
              <w:rPr>
                <w:rFonts w:ascii="仿宋_GB2312" w:eastAsia="仿宋_GB2312" w:hAnsi="宋体" w:cs="宋体" w:hint="eastAsia"/>
                <w:color w:val="000000"/>
                <w:kern w:val="0"/>
                <w:sz w:val="20"/>
                <w:szCs w:val="20"/>
              </w:rPr>
              <w:t>,086.39</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auto"/>
            </w:tcBorders>
            <w:shd w:val="clear" w:color="000000" w:fill="D9D9D9"/>
          </w:tcPr>
          <w:p w:rsidR="00C232D2" w:rsidRDefault="00016226">
            <w:pPr>
              <w:jc w:val="left"/>
            </w:pPr>
            <w:r>
              <w:rPr>
                <w:rFonts w:ascii="仿宋_GB2312" w:eastAsia="仿宋_GB2312" w:hAnsi="宋体" w:cs="仿宋_GB2312" w:hint="eastAsia"/>
                <w:b/>
                <w:bCs/>
                <w:color w:val="000000"/>
                <w:kern w:val="0"/>
                <w:sz w:val="22"/>
                <w:lang/>
              </w:rPr>
              <w:t>风险加权资产（数额）</w:t>
            </w: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4</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风险加权资产</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2,867,630.16</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2,846,194.91</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2,854,343.01</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016226">
            <w:pPr>
              <w:jc w:val="left"/>
            </w:pPr>
            <w:r>
              <w:rPr>
                <w:rFonts w:ascii="仿宋_GB2312" w:eastAsia="仿宋_GB2312" w:hAnsi="宋体" w:cs="仿宋_GB2312" w:hint="eastAsia"/>
                <w:b/>
                <w:bCs/>
                <w:color w:val="000000"/>
                <w:kern w:val="0"/>
                <w:sz w:val="22"/>
                <w:lang/>
              </w:rPr>
              <w:t>资本充足率</w:t>
            </w: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5</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核心一级资本充足率（</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9.37</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9.25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8.72</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6</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一级资本充足率（</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9.37</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9.25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8.72</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7</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资本充足率（</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12.6</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12.49</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11.92</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016226">
            <w:pPr>
              <w:jc w:val="left"/>
            </w:pPr>
            <w:r>
              <w:rPr>
                <w:rFonts w:ascii="仿宋_GB2312" w:eastAsia="仿宋_GB2312" w:hAnsi="宋体" w:cs="仿宋_GB2312" w:hint="eastAsia"/>
                <w:b/>
                <w:bCs/>
                <w:color w:val="000000"/>
                <w:kern w:val="0"/>
                <w:sz w:val="22"/>
                <w:lang/>
              </w:rPr>
              <w:t>其他各级资本要求</w:t>
            </w: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auto"/>
            </w:tcBorders>
            <w:shd w:val="clear" w:color="000000" w:fill="D9D9D9"/>
            <w:vAlign w:val="center"/>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8</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储备资本要求（</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2.5</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9</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逆周期资本要求（</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0</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w:t>
            </w:r>
          </w:p>
        </w:tc>
      </w:tr>
      <w:tr w:rsidR="00C232D2">
        <w:trPr>
          <w:trHeight w:val="82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10</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全球系统重要性银行或国内系统重要性银行附加资本要求（</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000000" w:fill="BEBEBE"/>
            <w:vAlign w:val="center"/>
          </w:tcPr>
          <w:p w:rsidR="00C232D2" w:rsidRDefault="00C232D2">
            <w:pPr>
              <w:jc w:val="center"/>
              <w:rPr>
                <w:rFonts w:ascii="仿宋_GB2312" w:eastAsia="仿宋_GB2312" w:hAnsi="宋体" w:cs="宋体"/>
                <w:color w:val="000000"/>
                <w:kern w:val="0"/>
                <w:sz w:val="22"/>
              </w:rPr>
            </w:pPr>
          </w:p>
        </w:tc>
        <w:tc>
          <w:tcPr>
            <w:tcW w:w="1659" w:type="dxa"/>
            <w:tcBorders>
              <w:top w:val="nil"/>
              <w:left w:val="nil"/>
              <w:bottom w:val="single" w:sz="8" w:space="0" w:color="auto"/>
              <w:right w:val="single" w:sz="8" w:space="0" w:color="auto"/>
            </w:tcBorders>
            <w:shd w:val="clear" w:color="000000" w:fill="BEBEBE"/>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59" w:type="dxa"/>
            <w:tcBorders>
              <w:top w:val="nil"/>
              <w:left w:val="nil"/>
              <w:bottom w:val="single" w:sz="8" w:space="0" w:color="auto"/>
              <w:right w:val="single" w:sz="8" w:space="0" w:color="auto"/>
            </w:tcBorders>
            <w:shd w:val="clear" w:color="000000" w:fill="BEBEBE"/>
            <w:vAlign w:val="center"/>
          </w:tcPr>
          <w:p w:rsidR="00C232D2" w:rsidRDefault="00C232D2">
            <w:pPr>
              <w:widowControl/>
              <w:jc w:val="center"/>
              <w:rPr>
                <w:rFonts w:ascii="仿宋_GB2312" w:eastAsia="仿宋_GB2312" w:hAnsi="宋体" w:cs="宋体"/>
                <w:color w:val="000000"/>
                <w:kern w:val="0"/>
                <w:sz w:val="22"/>
              </w:rPr>
            </w:pPr>
          </w:p>
        </w:tc>
      </w:tr>
      <w:tr w:rsidR="00C232D2">
        <w:trPr>
          <w:trHeight w:val="55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11</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其他各级资本要求（</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lastRenderedPageBreak/>
              <w:t>（</w:t>
            </w:r>
            <w:r>
              <w:rPr>
                <w:rFonts w:ascii="仿宋_GB2312" w:eastAsia="仿宋_GB2312" w:hAnsi="宋体" w:cs="仿宋_GB2312" w:hint="eastAsia"/>
                <w:color w:val="000000"/>
                <w:kern w:val="0"/>
                <w:sz w:val="22"/>
                <w:lang/>
              </w:rPr>
              <w:t>8+9+10</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lastRenderedPageBreak/>
              <w:t>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2.5</w:t>
            </w:r>
          </w:p>
        </w:tc>
      </w:tr>
      <w:tr w:rsidR="00C232D2">
        <w:trPr>
          <w:trHeight w:val="82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lastRenderedPageBreak/>
              <w:t>12</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满足最低资本要求后的可用核心一级资本净额占风险加权资产的比例（</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3.37</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3.25</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2.72</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016226">
            <w:pPr>
              <w:jc w:val="left"/>
            </w:pPr>
            <w:r>
              <w:rPr>
                <w:rFonts w:ascii="仿宋_GB2312" w:eastAsia="仿宋_GB2312" w:hAnsi="宋体" w:cs="仿宋_GB2312" w:hint="eastAsia"/>
                <w:b/>
                <w:bCs/>
                <w:color w:val="000000"/>
                <w:kern w:val="0"/>
                <w:sz w:val="22"/>
                <w:lang/>
              </w:rPr>
              <w:t>杠杆率</w:t>
            </w: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13</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调整后表内外资产余额</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4,946,640.67</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4,949,395.76</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5,109,070.03</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14</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杠杆率（</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5.43</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5.32</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4.87</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14a</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杠杆率</w:t>
            </w:r>
            <w:r>
              <w:rPr>
                <w:rFonts w:ascii="仿宋_GB2312" w:eastAsia="仿宋_GB2312" w:hAnsi="宋体" w:cs="仿宋_GB2312" w:hint="eastAsia"/>
                <w:color w:val="000000"/>
                <w:kern w:val="0"/>
                <w:sz w:val="22"/>
                <w:lang/>
              </w:rPr>
              <w:t>a</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5.43</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5.32</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4.87</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016226">
            <w:pPr>
              <w:jc w:val="left"/>
            </w:pPr>
            <w:r>
              <w:rPr>
                <w:rFonts w:ascii="仿宋_GB2312" w:eastAsia="仿宋_GB2312" w:hAnsi="宋体" w:cs="仿宋_GB2312" w:hint="eastAsia"/>
                <w:b/>
                <w:bCs/>
                <w:color w:val="000000"/>
                <w:kern w:val="0"/>
                <w:sz w:val="22"/>
                <w:lang/>
              </w:rPr>
              <w:t>流动性覆盖率</w:t>
            </w: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15</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合格优质流动性资产</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16</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现金净流出量</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17</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流动性覆盖率（</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016226">
            <w:pPr>
              <w:jc w:val="left"/>
            </w:pPr>
            <w:r>
              <w:rPr>
                <w:rFonts w:ascii="仿宋_GB2312" w:eastAsia="仿宋_GB2312" w:hAnsi="宋体" w:cs="仿宋_GB2312" w:hint="eastAsia"/>
                <w:b/>
                <w:bCs/>
                <w:color w:val="000000"/>
                <w:kern w:val="0"/>
                <w:sz w:val="22"/>
                <w:lang/>
              </w:rPr>
              <w:t>净稳定资金比例</w:t>
            </w: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9D9D9"/>
            <w:vAlign w:val="center"/>
          </w:tcPr>
          <w:p w:rsidR="00C232D2" w:rsidRDefault="00C232D2">
            <w:pPr>
              <w:widowControl/>
              <w:jc w:val="left"/>
              <w:rPr>
                <w:rFonts w:ascii="仿宋_GB2312" w:eastAsia="仿宋_GB2312" w:hAnsi="宋体" w:cs="宋体"/>
                <w:b/>
                <w:bCs/>
                <w:color w:val="000000"/>
                <w:kern w:val="0"/>
                <w:sz w:val="22"/>
              </w:rPr>
            </w:pP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18</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可用稳定资金合计</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19</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所需稳定资金合计</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824" w:type="dxa"/>
            <w:tcBorders>
              <w:top w:val="nil"/>
              <w:left w:val="single" w:sz="8" w:space="0" w:color="auto"/>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20</w:t>
            </w:r>
          </w:p>
        </w:tc>
        <w:tc>
          <w:tcPr>
            <w:tcW w:w="2626" w:type="dxa"/>
            <w:tcBorders>
              <w:top w:val="nil"/>
              <w:left w:val="nil"/>
              <w:bottom w:val="single" w:sz="8" w:space="0" w:color="auto"/>
              <w:right w:val="single" w:sz="8" w:space="0" w:color="auto"/>
            </w:tcBorders>
            <w:shd w:val="clear" w:color="auto" w:fill="auto"/>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净稳定资金比例（</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c>
          <w:tcPr>
            <w:tcW w:w="1659" w:type="dxa"/>
            <w:tcBorders>
              <w:top w:val="nil"/>
              <w:left w:val="nil"/>
              <w:bottom w:val="single" w:sz="8" w:space="0" w:color="auto"/>
              <w:right w:val="single" w:sz="8" w:space="0" w:color="auto"/>
            </w:tcBorders>
            <w:shd w:val="clear" w:color="auto" w:fill="auto"/>
            <w:vAlign w:val="center"/>
          </w:tcPr>
          <w:p w:rsidR="00C232D2" w:rsidRDefault="00016226">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不适用</w:t>
            </w:r>
          </w:p>
        </w:tc>
      </w:tr>
      <w:tr w:rsidR="00C232D2">
        <w:trPr>
          <w:trHeight w:val="285"/>
        </w:trPr>
        <w:tc>
          <w:tcPr>
            <w:tcW w:w="3450" w:type="dxa"/>
            <w:gridSpan w:val="2"/>
            <w:tcBorders>
              <w:top w:val="single" w:sz="8" w:space="0" w:color="auto"/>
              <w:left w:val="single" w:sz="8" w:space="0" w:color="auto"/>
              <w:bottom w:val="single" w:sz="8" w:space="0" w:color="auto"/>
              <w:right w:val="single" w:sz="8" w:space="0" w:color="000000"/>
            </w:tcBorders>
            <w:shd w:val="clear" w:color="000000" w:fill="D8D8D8"/>
            <w:vAlign w:val="center"/>
          </w:tcPr>
          <w:p w:rsidR="00C232D2" w:rsidRDefault="00016226">
            <w:pPr>
              <w:jc w:val="left"/>
            </w:pPr>
            <w:r>
              <w:rPr>
                <w:rFonts w:ascii="仿宋_GB2312" w:eastAsia="仿宋_GB2312" w:hAnsi="宋体" w:cs="仿宋_GB2312" w:hint="eastAsia"/>
                <w:b/>
                <w:bCs/>
                <w:color w:val="000000"/>
                <w:kern w:val="0"/>
                <w:sz w:val="22"/>
                <w:lang/>
              </w:rPr>
              <w:t>流动性比例</w:t>
            </w:r>
          </w:p>
        </w:tc>
        <w:tc>
          <w:tcPr>
            <w:tcW w:w="1659" w:type="dxa"/>
            <w:tcBorders>
              <w:top w:val="single" w:sz="8" w:space="0" w:color="auto"/>
              <w:left w:val="single" w:sz="8" w:space="0" w:color="auto"/>
              <w:bottom w:val="single" w:sz="8" w:space="0" w:color="auto"/>
              <w:right w:val="single" w:sz="8" w:space="0" w:color="000000"/>
            </w:tcBorders>
            <w:shd w:val="clear" w:color="000000" w:fill="D8D8D8"/>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8D8D8"/>
            <w:vAlign w:val="center"/>
          </w:tcPr>
          <w:p w:rsidR="00C232D2" w:rsidRDefault="00C232D2">
            <w:pPr>
              <w:jc w:val="left"/>
            </w:pPr>
          </w:p>
        </w:tc>
        <w:tc>
          <w:tcPr>
            <w:tcW w:w="1659" w:type="dxa"/>
            <w:tcBorders>
              <w:top w:val="single" w:sz="8" w:space="0" w:color="auto"/>
              <w:left w:val="single" w:sz="8" w:space="0" w:color="auto"/>
              <w:bottom w:val="single" w:sz="8" w:space="0" w:color="auto"/>
              <w:right w:val="single" w:sz="8" w:space="0" w:color="000000"/>
            </w:tcBorders>
            <w:shd w:val="clear" w:color="000000" w:fill="D8D8D8"/>
            <w:vAlign w:val="center"/>
          </w:tcPr>
          <w:p w:rsidR="00C232D2" w:rsidRDefault="00C232D2">
            <w:pPr>
              <w:widowControl/>
              <w:jc w:val="left"/>
              <w:rPr>
                <w:rFonts w:ascii="仿宋_GB2312" w:eastAsia="仿宋_GB2312" w:hAnsi="宋体" w:cs="宋体"/>
                <w:b/>
                <w:bCs/>
                <w:color w:val="000000"/>
                <w:kern w:val="0"/>
                <w:sz w:val="22"/>
              </w:rPr>
            </w:pPr>
          </w:p>
        </w:tc>
      </w:tr>
      <w:tr w:rsidR="00C232D2" w:rsidTr="006C4648">
        <w:trPr>
          <w:trHeight w:val="285"/>
        </w:trPr>
        <w:tc>
          <w:tcPr>
            <w:tcW w:w="824" w:type="dxa"/>
            <w:tcBorders>
              <w:top w:val="nil"/>
              <w:left w:val="single" w:sz="8" w:space="0" w:color="auto"/>
              <w:bottom w:val="single" w:sz="4" w:space="0" w:color="auto"/>
              <w:right w:val="single" w:sz="8" w:space="0" w:color="auto"/>
            </w:tcBorders>
            <w:shd w:val="clear" w:color="000000" w:fill="FFFFFF"/>
            <w:vAlign w:val="center"/>
          </w:tcPr>
          <w:p w:rsidR="00C232D2" w:rsidRDefault="00016226">
            <w:pPr>
              <w:widowControl/>
              <w:jc w:val="center"/>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21</w:t>
            </w:r>
          </w:p>
        </w:tc>
        <w:tc>
          <w:tcPr>
            <w:tcW w:w="2626" w:type="dxa"/>
            <w:tcBorders>
              <w:top w:val="nil"/>
              <w:left w:val="nil"/>
              <w:bottom w:val="single" w:sz="4" w:space="0" w:color="auto"/>
              <w:right w:val="single" w:sz="8" w:space="0" w:color="auto"/>
            </w:tcBorders>
            <w:shd w:val="clear" w:color="000000" w:fill="FFFFFF"/>
            <w:vAlign w:val="center"/>
          </w:tcPr>
          <w:p w:rsidR="00C232D2" w:rsidRDefault="00016226">
            <w:pPr>
              <w:widowControl/>
              <w:jc w:val="left"/>
              <w:textAlignment w:val="center"/>
              <w:rPr>
                <w:rFonts w:ascii="仿宋_GB2312" w:eastAsia="仿宋_GB2312" w:hAnsi="宋体" w:cs="宋体"/>
                <w:color w:val="000000"/>
                <w:kern w:val="0"/>
                <w:sz w:val="22"/>
              </w:rPr>
            </w:pPr>
            <w:r>
              <w:rPr>
                <w:rFonts w:ascii="仿宋_GB2312" w:eastAsia="仿宋_GB2312" w:hAnsi="宋体" w:cs="仿宋_GB2312" w:hint="eastAsia"/>
                <w:color w:val="000000"/>
                <w:kern w:val="0"/>
                <w:sz w:val="22"/>
                <w:lang/>
              </w:rPr>
              <w:t>流动性比例（</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w:t>
            </w:r>
          </w:p>
        </w:tc>
        <w:tc>
          <w:tcPr>
            <w:tcW w:w="1659" w:type="dxa"/>
            <w:tcBorders>
              <w:top w:val="nil"/>
              <w:left w:val="nil"/>
              <w:bottom w:val="single" w:sz="4" w:space="0" w:color="auto"/>
              <w:right w:val="single" w:sz="8" w:space="0" w:color="auto"/>
            </w:tcBorders>
            <w:shd w:val="clear" w:color="000000" w:fill="FFFFFF"/>
            <w:vAlign w:val="center"/>
          </w:tcPr>
          <w:p w:rsidR="00C232D2" w:rsidRDefault="00016226">
            <w:pPr>
              <w:widowControl/>
              <w:jc w:val="center"/>
              <w:textAlignment w:val="center"/>
              <w:rPr>
                <w:rFonts w:ascii="仿宋_GB2312" w:eastAsia="仿宋_GB2312" w:hAnsi="宋体" w:cs="宋体"/>
                <w:color w:val="000000"/>
                <w:kern w:val="0"/>
                <w:sz w:val="20"/>
                <w:szCs w:val="20"/>
              </w:rPr>
            </w:pPr>
            <w:r>
              <w:rPr>
                <w:rFonts w:ascii="仿宋_GB2312" w:eastAsia="仿宋_GB2312" w:hAnsi="宋体" w:cs="仿宋_GB2312" w:hint="eastAsia"/>
                <w:color w:val="000000"/>
                <w:kern w:val="0"/>
                <w:sz w:val="20"/>
                <w:szCs w:val="20"/>
                <w:lang/>
              </w:rPr>
              <w:t>111.04</w:t>
            </w:r>
          </w:p>
        </w:tc>
        <w:tc>
          <w:tcPr>
            <w:tcW w:w="1659" w:type="dxa"/>
            <w:tcBorders>
              <w:top w:val="nil"/>
              <w:left w:val="nil"/>
              <w:bottom w:val="single" w:sz="4" w:space="0" w:color="auto"/>
              <w:right w:val="single" w:sz="8" w:space="0" w:color="auto"/>
            </w:tcBorders>
            <w:shd w:val="clear" w:color="000000" w:fill="FFFFFF"/>
            <w:noWrap/>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119.15</w:t>
            </w:r>
          </w:p>
        </w:tc>
        <w:tc>
          <w:tcPr>
            <w:tcW w:w="1659" w:type="dxa"/>
            <w:tcBorders>
              <w:top w:val="nil"/>
              <w:left w:val="nil"/>
              <w:bottom w:val="single" w:sz="4" w:space="0" w:color="auto"/>
              <w:right w:val="single" w:sz="8" w:space="0" w:color="auto"/>
            </w:tcBorders>
            <w:shd w:val="clear" w:color="auto" w:fill="auto"/>
            <w:noWrap/>
            <w:vAlign w:val="center"/>
          </w:tcPr>
          <w:p w:rsidR="00C232D2" w:rsidRDefault="00016226">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101.74</w:t>
            </w:r>
          </w:p>
        </w:tc>
      </w:tr>
    </w:tbl>
    <w:p w:rsidR="00C232D2" w:rsidRDefault="00C232D2">
      <w:pPr>
        <w:rPr>
          <w:rFonts w:ascii="仿宋_GB2312" w:eastAsia="仿宋_GB2312" w:hAnsi="仿宋"/>
          <w:sz w:val="32"/>
          <w:szCs w:val="32"/>
        </w:rPr>
      </w:pPr>
    </w:p>
    <w:sectPr w:rsidR="00C232D2" w:rsidSect="00C23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226" w:rsidRDefault="00016226" w:rsidP="00C232D2">
      <w:r>
        <w:separator/>
      </w:r>
    </w:p>
  </w:endnote>
  <w:endnote w:type="continuationSeparator" w:id="1">
    <w:p w:rsidR="00016226" w:rsidRDefault="00016226" w:rsidP="00C2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1637"/>
      <w:docPartObj>
        <w:docPartGallery w:val="AutoText"/>
      </w:docPartObj>
    </w:sdtPr>
    <w:sdtContent>
      <w:p w:rsidR="00C232D2" w:rsidRDefault="00C232D2">
        <w:pPr>
          <w:pStyle w:val="a4"/>
          <w:jc w:val="center"/>
        </w:pPr>
        <w:r w:rsidRPr="00C232D2">
          <w:fldChar w:fldCharType="begin"/>
        </w:r>
        <w:r w:rsidR="00016226">
          <w:instrText xml:space="preserve"> PAGE   \* MERGEFORMAT </w:instrText>
        </w:r>
        <w:r w:rsidRPr="00C232D2">
          <w:fldChar w:fldCharType="separate"/>
        </w:r>
        <w:r w:rsidR="006C4648" w:rsidRPr="006C4648">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226" w:rsidRDefault="00016226" w:rsidP="00C232D2">
      <w:r>
        <w:separator/>
      </w:r>
    </w:p>
  </w:footnote>
  <w:footnote w:type="continuationSeparator" w:id="1">
    <w:p w:rsidR="00016226" w:rsidRDefault="00016226" w:rsidP="00C23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RiYjhlOWI4YzAxNjA2M2IwYTZjNmU5YjVlNDNkNWUifQ=="/>
  </w:docVars>
  <w:rsids>
    <w:rsidRoot w:val="00A44976"/>
    <w:rsid w:val="00001626"/>
    <w:rsid w:val="00002BA3"/>
    <w:rsid w:val="00003824"/>
    <w:rsid w:val="00005409"/>
    <w:rsid w:val="00007429"/>
    <w:rsid w:val="0001096D"/>
    <w:rsid w:val="00014587"/>
    <w:rsid w:val="00016226"/>
    <w:rsid w:val="00016B4B"/>
    <w:rsid w:val="00023896"/>
    <w:rsid w:val="00025EB8"/>
    <w:rsid w:val="000324F1"/>
    <w:rsid w:val="00034DC4"/>
    <w:rsid w:val="00034E57"/>
    <w:rsid w:val="0004121C"/>
    <w:rsid w:val="00043568"/>
    <w:rsid w:val="00044E9A"/>
    <w:rsid w:val="00046A6E"/>
    <w:rsid w:val="00060725"/>
    <w:rsid w:val="00062D42"/>
    <w:rsid w:val="00075EDA"/>
    <w:rsid w:val="0007637F"/>
    <w:rsid w:val="00076BA7"/>
    <w:rsid w:val="00077C0B"/>
    <w:rsid w:val="00082C87"/>
    <w:rsid w:val="000830B2"/>
    <w:rsid w:val="000844D0"/>
    <w:rsid w:val="00085349"/>
    <w:rsid w:val="00085E22"/>
    <w:rsid w:val="00091722"/>
    <w:rsid w:val="00093647"/>
    <w:rsid w:val="00095402"/>
    <w:rsid w:val="00096012"/>
    <w:rsid w:val="00097E14"/>
    <w:rsid w:val="000A001F"/>
    <w:rsid w:val="000A5914"/>
    <w:rsid w:val="000B011D"/>
    <w:rsid w:val="000B0743"/>
    <w:rsid w:val="000B0882"/>
    <w:rsid w:val="000B1D9D"/>
    <w:rsid w:val="000B50E3"/>
    <w:rsid w:val="000B54ED"/>
    <w:rsid w:val="000B645D"/>
    <w:rsid w:val="000C0B9A"/>
    <w:rsid w:val="000C23AF"/>
    <w:rsid w:val="000C5A14"/>
    <w:rsid w:val="000C6580"/>
    <w:rsid w:val="000D06F1"/>
    <w:rsid w:val="000D10F9"/>
    <w:rsid w:val="000D522A"/>
    <w:rsid w:val="000D5755"/>
    <w:rsid w:val="000D666A"/>
    <w:rsid w:val="000E16DC"/>
    <w:rsid w:val="000E1A2A"/>
    <w:rsid w:val="000E2186"/>
    <w:rsid w:val="000E5902"/>
    <w:rsid w:val="000E6694"/>
    <w:rsid w:val="000E7ECC"/>
    <w:rsid w:val="000F2777"/>
    <w:rsid w:val="000F74E0"/>
    <w:rsid w:val="001017DE"/>
    <w:rsid w:val="00105967"/>
    <w:rsid w:val="00106FDE"/>
    <w:rsid w:val="00107174"/>
    <w:rsid w:val="0010737C"/>
    <w:rsid w:val="00107E7C"/>
    <w:rsid w:val="00111E1D"/>
    <w:rsid w:val="0011280C"/>
    <w:rsid w:val="00113353"/>
    <w:rsid w:val="00114C1B"/>
    <w:rsid w:val="00117EFA"/>
    <w:rsid w:val="00123062"/>
    <w:rsid w:val="00132F52"/>
    <w:rsid w:val="001340DC"/>
    <w:rsid w:val="00134AF9"/>
    <w:rsid w:val="00135142"/>
    <w:rsid w:val="00137AF9"/>
    <w:rsid w:val="00141976"/>
    <w:rsid w:val="00142D00"/>
    <w:rsid w:val="001453C8"/>
    <w:rsid w:val="00145840"/>
    <w:rsid w:val="00150899"/>
    <w:rsid w:val="00154100"/>
    <w:rsid w:val="00155B63"/>
    <w:rsid w:val="001619D8"/>
    <w:rsid w:val="00162262"/>
    <w:rsid w:val="00163AEC"/>
    <w:rsid w:val="00164D10"/>
    <w:rsid w:val="001668D5"/>
    <w:rsid w:val="00166A7C"/>
    <w:rsid w:val="00167A14"/>
    <w:rsid w:val="00170E99"/>
    <w:rsid w:val="00176F52"/>
    <w:rsid w:val="001863BB"/>
    <w:rsid w:val="00192EC1"/>
    <w:rsid w:val="00197A0E"/>
    <w:rsid w:val="001A0EC6"/>
    <w:rsid w:val="001A7C8A"/>
    <w:rsid w:val="001B187D"/>
    <w:rsid w:val="001B19A2"/>
    <w:rsid w:val="001B3E55"/>
    <w:rsid w:val="001B7A73"/>
    <w:rsid w:val="001B7CF4"/>
    <w:rsid w:val="001C163A"/>
    <w:rsid w:val="001C7363"/>
    <w:rsid w:val="001D0224"/>
    <w:rsid w:val="001D05C8"/>
    <w:rsid w:val="001D5A6C"/>
    <w:rsid w:val="001E0155"/>
    <w:rsid w:val="001E0B29"/>
    <w:rsid w:val="001E65A0"/>
    <w:rsid w:val="001F334D"/>
    <w:rsid w:val="001F43D4"/>
    <w:rsid w:val="001F4862"/>
    <w:rsid w:val="001F7109"/>
    <w:rsid w:val="001F7E19"/>
    <w:rsid w:val="00200523"/>
    <w:rsid w:val="00201193"/>
    <w:rsid w:val="00201E7B"/>
    <w:rsid w:val="00202483"/>
    <w:rsid w:val="002032D1"/>
    <w:rsid w:val="00206624"/>
    <w:rsid w:val="00211B28"/>
    <w:rsid w:val="00212B45"/>
    <w:rsid w:val="00212C00"/>
    <w:rsid w:val="00216B59"/>
    <w:rsid w:val="00220C80"/>
    <w:rsid w:val="002219FC"/>
    <w:rsid w:val="00231B4F"/>
    <w:rsid w:val="002322CD"/>
    <w:rsid w:val="0023398C"/>
    <w:rsid w:val="002375FC"/>
    <w:rsid w:val="00237EF7"/>
    <w:rsid w:val="002411AD"/>
    <w:rsid w:val="00243619"/>
    <w:rsid w:val="00245DDD"/>
    <w:rsid w:val="00247104"/>
    <w:rsid w:val="002528B4"/>
    <w:rsid w:val="00253E7D"/>
    <w:rsid w:val="00254B3A"/>
    <w:rsid w:val="00255912"/>
    <w:rsid w:val="002607FB"/>
    <w:rsid w:val="00261BC0"/>
    <w:rsid w:val="00261CEC"/>
    <w:rsid w:val="00264B5E"/>
    <w:rsid w:val="00266017"/>
    <w:rsid w:val="00266DCF"/>
    <w:rsid w:val="00266DE4"/>
    <w:rsid w:val="00267760"/>
    <w:rsid w:val="00271C35"/>
    <w:rsid w:val="00272FB8"/>
    <w:rsid w:val="00275076"/>
    <w:rsid w:val="00281689"/>
    <w:rsid w:val="00282B98"/>
    <w:rsid w:val="002859E5"/>
    <w:rsid w:val="002862B4"/>
    <w:rsid w:val="00286569"/>
    <w:rsid w:val="00293851"/>
    <w:rsid w:val="002970A2"/>
    <w:rsid w:val="002A03C6"/>
    <w:rsid w:val="002A0D22"/>
    <w:rsid w:val="002A5F90"/>
    <w:rsid w:val="002B36F5"/>
    <w:rsid w:val="002B4D65"/>
    <w:rsid w:val="002B5F4C"/>
    <w:rsid w:val="002B635A"/>
    <w:rsid w:val="002C1874"/>
    <w:rsid w:val="002C213E"/>
    <w:rsid w:val="002C6520"/>
    <w:rsid w:val="002D02D8"/>
    <w:rsid w:val="002D3E21"/>
    <w:rsid w:val="002D4DD6"/>
    <w:rsid w:val="002D6232"/>
    <w:rsid w:val="002D6A59"/>
    <w:rsid w:val="002E09E2"/>
    <w:rsid w:val="002E10D2"/>
    <w:rsid w:val="002E1316"/>
    <w:rsid w:val="002E434B"/>
    <w:rsid w:val="002E4910"/>
    <w:rsid w:val="002E4EB4"/>
    <w:rsid w:val="002E6A3D"/>
    <w:rsid w:val="002F1520"/>
    <w:rsid w:val="002F1F31"/>
    <w:rsid w:val="002F2D1A"/>
    <w:rsid w:val="002F34DD"/>
    <w:rsid w:val="002F5B93"/>
    <w:rsid w:val="002F5DD5"/>
    <w:rsid w:val="002F6B12"/>
    <w:rsid w:val="002F6CDB"/>
    <w:rsid w:val="00302F10"/>
    <w:rsid w:val="00304C8D"/>
    <w:rsid w:val="0030519D"/>
    <w:rsid w:val="00306FB1"/>
    <w:rsid w:val="00310EB4"/>
    <w:rsid w:val="003119DF"/>
    <w:rsid w:val="00313E32"/>
    <w:rsid w:val="00315A7C"/>
    <w:rsid w:val="00317593"/>
    <w:rsid w:val="00327699"/>
    <w:rsid w:val="00331197"/>
    <w:rsid w:val="00335CBB"/>
    <w:rsid w:val="00336A4E"/>
    <w:rsid w:val="00337F70"/>
    <w:rsid w:val="00340E20"/>
    <w:rsid w:val="003425A0"/>
    <w:rsid w:val="0034416C"/>
    <w:rsid w:val="003449C3"/>
    <w:rsid w:val="00345F76"/>
    <w:rsid w:val="00350FD3"/>
    <w:rsid w:val="00351DEE"/>
    <w:rsid w:val="00355B0A"/>
    <w:rsid w:val="00360610"/>
    <w:rsid w:val="00360A68"/>
    <w:rsid w:val="00360D72"/>
    <w:rsid w:val="0036150E"/>
    <w:rsid w:val="00363B99"/>
    <w:rsid w:val="0037001B"/>
    <w:rsid w:val="0037241B"/>
    <w:rsid w:val="0037701F"/>
    <w:rsid w:val="00377AE8"/>
    <w:rsid w:val="003819D8"/>
    <w:rsid w:val="003825BE"/>
    <w:rsid w:val="003848CD"/>
    <w:rsid w:val="003864F6"/>
    <w:rsid w:val="0039027C"/>
    <w:rsid w:val="00392731"/>
    <w:rsid w:val="00393AFA"/>
    <w:rsid w:val="003945F7"/>
    <w:rsid w:val="00396707"/>
    <w:rsid w:val="00396EF5"/>
    <w:rsid w:val="003B381B"/>
    <w:rsid w:val="003B399C"/>
    <w:rsid w:val="003B61C4"/>
    <w:rsid w:val="003B75E5"/>
    <w:rsid w:val="003B7679"/>
    <w:rsid w:val="003B7CCE"/>
    <w:rsid w:val="003C651A"/>
    <w:rsid w:val="003D338E"/>
    <w:rsid w:val="003D3C72"/>
    <w:rsid w:val="003D5673"/>
    <w:rsid w:val="003D5BD1"/>
    <w:rsid w:val="003D7480"/>
    <w:rsid w:val="003E269E"/>
    <w:rsid w:val="003E3B89"/>
    <w:rsid w:val="003F781F"/>
    <w:rsid w:val="004022D1"/>
    <w:rsid w:val="0040710C"/>
    <w:rsid w:val="00407466"/>
    <w:rsid w:val="00407868"/>
    <w:rsid w:val="0041150A"/>
    <w:rsid w:val="00414161"/>
    <w:rsid w:val="00414836"/>
    <w:rsid w:val="0042147E"/>
    <w:rsid w:val="00424D22"/>
    <w:rsid w:val="00424D55"/>
    <w:rsid w:val="0042589B"/>
    <w:rsid w:val="00432A02"/>
    <w:rsid w:val="0043309F"/>
    <w:rsid w:val="0043515B"/>
    <w:rsid w:val="0043741C"/>
    <w:rsid w:val="00444498"/>
    <w:rsid w:val="00446238"/>
    <w:rsid w:val="00446EE2"/>
    <w:rsid w:val="004478BA"/>
    <w:rsid w:val="00451905"/>
    <w:rsid w:val="00453CE2"/>
    <w:rsid w:val="004669C7"/>
    <w:rsid w:val="00466EF7"/>
    <w:rsid w:val="0047254C"/>
    <w:rsid w:val="0047563F"/>
    <w:rsid w:val="00481B63"/>
    <w:rsid w:val="00483288"/>
    <w:rsid w:val="00486A9E"/>
    <w:rsid w:val="004951B1"/>
    <w:rsid w:val="00496B55"/>
    <w:rsid w:val="00497E25"/>
    <w:rsid w:val="004A2EB8"/>
    <w:rsid w:val="004A5844"/>
    <w:rsid w:val="004A6BAB"/>
    <w:rsid w:val="004B2678"/>
    <w:rsid w:val="004B2EA3"/>
    <w:rsid w:val="004B3D27"/>
    <w:rsid w:val="004B43D0"/>
    <w:rsid w:val="004B4CF1"/>
    <w:rsid w:val="004B6946"/>
    <w:rsid w:val="004C17C6"/>
    <w:rsid w:val="004C668D"/>
    <w:rsid w:val="004C6E76"/>
    <w:rsid w:val="004D034C"/>
    <w:rsid w:val="004D2599"/>
    <w:rsid w:val="004D41F9"/>
    <w:rsid w:val="004D43BA"/>
    <w:rsid w:val="004D4591"/>
    <w:rsid w:val="004E0989"/>
    <w:rsid w:val="004E0E9F"/>
    <w:rsid w:val="004E70B7"/>
    <w:rsid w:val="004E7179"/>
    <w:rsid w:val="004F0410"/>
    <w:rsid w:val="004F3A02"/>
    <w:rsid w:val="004F4185"/>
    <w:rsid w:val="004F4D2C"/>
    <w:rsid w:val="004F5448"/>
    <w:rsid w:val="00500FD2"/>
    <w:rsid w:val="00502BDA"/>
    <w:rsid w:val="00506C3D"/>
    <w:rsid w:val="00507014"/>
    <w:rsid w:val="005114AD"/>
    <w:rsid w:val="00516926"/>
    <w:rsid w:val="0052182C"/>
    <w:rsid w:val="005229FF"/>
    <w:rsid w:val="0052424D"/>
    <w:rsid w:val="00526660"/>
    <w:rsid w:val="00530745"/>
    <w:rsid w:val="00531DD7"/>
    <w:rsid w:val="00531E0B"/>
    <w:rsid w:val="00537098"/>
    <w:rsid w:val="00542AE8"/>
    <w:rsid w:val="00542C5B"/>
    <w:rsid w:val="00545820"/>
    <w:rsid w:val="00550743"/>
    <w:rsid w:val="00556628"/>
    <w:rsid w:val="00561D6B"/>
    <w:rsid w:val="0056275A"/>
    <w:rsid w:val="0056350D"/>
    <w:rsid w:val="005669CD"/>
    <w:rsid w:val="00566B7C"/>
    <w:rsid w:val="005753F9"/>
    <w:rsid w:val="00582C41"/>
    <w:rsid w:val="00583D96"/>
    <w:rsid w:val="0058465C"/>
    <w:rsid w:val="00584B1A"/>
    <w:rsid w:val="005853FD"/>
    <w:rsid w:val="00585762"/>
    <w:rsid w:val="005878A8"/>
    <w:rsid w:val="00587B3D"/>
    <w:rsid w:val="00587DDF"/>
    <w:rsid w:val="005935B3"/>
    <w:rsid w:val="00593BCF"/>
    <w:rsid w:val="005A0444"/>
    <w:rsid w:val="005A0A69"/>
    <w:rsid w:val="005A2893"/>
    <w:rsid w:val="005A6433"/>
    <w:rsid w:val="005A6DDD"/>
    <w:rsid w:val="005A7A54"/>
    <w:rsid w:val="005B1F4D"/>
    <w:rsid w:val="005C1500"/>
    <w:rsid w:val="005C450C"/>
    <w:rsid w:val="005C70E4"/>
    <w:rsid w:val="005D20D4"/>
    <w:rsid w:val="005D3469"/>
    <w:rsid w:val="005D37DD"/>
    <w:rsid w:val="005D556C"/>
    <w:rsid w:val="005D55FA"/>
    <w:rsid w:val="005D6C02"/>
    <w:rsid w:val="005E08DD"/>
    <w:rsid w:val="005E26B1"/>
    <w:rsid w:val="005F0277"/>
    <w:rsid w:val="005F16C4"/>
    <w:rsid w:val="005F3926"/>
    <w:rsid w:val="005F4433"/>
    <w:rsid w:val="005F5835"/>
    <w:rsid w:val="005F5B48"/>
    <w:rsid w:val="005F6BAD"/>
    <w:rsid w:val="006012B7"/>
    <w:rsid w:val="00603D83"/>
    <w:rsid w:val="00606957"/>
    <w:rsid w:val="006106DD"/>
    <w:rsid w:val="00611242"/>
    <w:rsid w:val="0061175C"/>
    <w:rsid w:val="00611E98"/>
    <w:rsid w:val="0061369E"/>
    <w:rsid w:val="0061692A"/>
    <w:rsid w:val="00620A6D"/>
    <w:rsid w:val="00621080"/>
    <w:rsid w:val="00622333"/>
    <w:rsid w:val="00624DF7"/>
    <w:rsid w:val="00626632"/>
    <w:rsid w:val="006276D1"/>
    <w:rsid w:val="006277F2"/>
    <w:rsid w:val="00630D29"/>
    <w:rsid w:val="00631BC1"/>
    <w:rsid w:val="00634649"/>
    <w:rsid w:val="00640CFD"/>
    <w:rsid w:val="00641BB4"/>
    <w:rsid w:val="0064383A"/>
    <w:rsid w:val="00651886"/>
    <w:rsid w:val="00664F70"/>
    <w:rsid w:val="00665710"/>
    <w:rsid w:val="006658E1"/>
    <w:rsid w:val="00672ADB"/>
    <w:rsid w:val="00673187"/>
    <w:rsid w:val="0067789F"/>
    <w:rsid w:val="0068065C"/>
    <w:rsid w:val="00680E83"/>
    <w:rsid w:val="00681D46"/>
    <w:rsid w:val="006820E5"/>
    <w:rsid w:val="006839A0"/>
    <w:rsid w:val="00685BBF"/>
    <w:rsid w:val="00686C90"/>
    <w:rsid w:val="00687E7D"/>
    <w:rsid w:val="006901FB"/>
    <w:rsid w:val="006956E6"/>
    <w:rsid w:val="00696BED"/>
    <w:rsid w:val="006A199B"/>
    <w:rsid w:val="006A30E3"/>
    <w:rsid w:val="006A3C63"/>
    <w:rsid w:val="006A48CD"/>
    <w:rsid w:val="006A56AE"/>
    <w:rsid w:val="006B21E0"/>
    <w:rsid w:val="006B2218"/>
    <w:rsid w:val="006B2E18"/>
    <w:rsid w:val="006B4646"/>
    <w:rsid w:val="006C4648"/>
    <w:rsid w:val="006C6768"/>
    <w:rsid w:val="006C6A6B"/>
    <w:rsid w:val="006D12E1"/>
    <w:rsid w:val="006D2370"/>
    <w:rsid w:val="006E04AC"/>
    <w:rsid w:val="006E28A3"/>
    <w:rsid w:val="006E4FC4"/>
    <w:rsid w:val="006F06B1"/>
    <w:rsid w:val="006F263B"/>
    <w:rsid w:val="007031FC"/>
    <w:rsid w:val="00703C05"/>
    <w:rsid w:val="0070631B"/>
    <w:rsid w:val="00711A0F"/>
    <w:rsid w:val="00713ED6"/>
    <w:rsid w:val="00714C66"/>
    <w:rsid w:val="00715BB5"/>
    <w:rsid w:val="00716AC8"/>
    <w:rsid w:val="0072073C"/>
    <w:rsid w:val="00721207"/>
    <w:rsid w:val="00722EA7"/>
    <w:rsid w:val="00722EF0"/>
    <w:rsid w:val="007232CC"/>
    <w:rsid w:val="0072624B"/>
    <w:rsid w:val="00726989"/>
    <w:rsid w:val="00730DEE"/>
    <w:rsid w:val="007315FA"/>
    <w:rsid w:val="00732595"/>
    <w:rsid w:val="00735A4B"/>
    <w:rsid w:val="00736F72"/>
    <w:rsid w:val="00737C07"/>
    <w:rsid w:val="007413B0"/>
    <w:rsid w:val="00742B59"/>
    <w:rsid w:val="00742F9E"/>
    <w:rsid w:val="007449E3"/>
    <w:rsid w:val="00750302"/>
    <w:rsid w:val="00760A75"/>
    <w:rsid w:val="00761E04"/>
    <w:rsid w:val="00762CFC"/>
    <w:rsid w:val="00764709"/>
    <w:rsid w:val="00765BE8"/>
    <w:rsid w:val="00766016"/>
    <w:rsid w:val="00767B8D"/>
    <w:rsid w:val="007733B7"/>
    <w:rsid w:val="0077361C"/>
    <w:rsid w:val="0077589D"/>
    <w:rsid w:val="00775CCD"/>
    <w:rsid w:val="0077765C"/>
    <w:rsid w:val="00780BE5"/>
    <w:rsid w:val="0078169D"/>
    <w:rsid w:val="00781887"/>
    <w:rsid w:val="00786431"/>
    <w:rsid w:val="00790049"/>
    <w:rsid w:val="0079145F"/>
    <w:rsid w:val="00792E3F"/>
    <w:rsid w:val="007A3741"/>
    <w:rsid w:val="007A4E11"/>
    <w:rsid w:val="007A5AFC"/>
    <w:rsid w:val="007A7B91"/>
    <w:rsid w:val="007A7BF1"/>
    <w:rsid w:val="007B084E"/>
    <w:rsid w:val="007B0AB5"/>
    <w:rsid w:val="007B4F16"/>
    <w:rsid w:val="007B5AB9"/>
    <w:rsid w:val="007C28C7"/>
    <w:rsid w:val="007C545F"/>
    <w:rsid w:val="007C548D"/>
    <w:rsid w:val="007C619D"/>
    <w:rsid w:val="007C78B4"/>
    <w:rsid w:val="007C7D8A"/>
    <w:rsid w:val="007D005B"/>
    <w:rsid w:val="007D025A"/>
    <w:rsid w:val="007D1441"/>
    <w:rsid w:val="007D2F5B"/>
    <w:rsid w:val="007D4856"/>
    <w:rsid w:val="007D608C"/>
    <w:rsid w:val="007D6512"/>
    <w:rsid w:val="007D7FC2"/>
    <w:rsid w:val="007E50FE"/>
    <w:rsid w:val="007E5DD3"/>
    <w:rsid w:val="007E6DA0"/>
    <w:rsid w:val="007F0C5F"/>
    <w:rsid w:val="007F2E54"/>
    <w:rsid w:val="007F5E22"/>
    <w:rsid w:val="007F7D44"/>
    <w:rsid w:val="00803339"/>
    <w:rsid w:val="00806192"/>
    <w:rsid w:val="00806EA1"/>
    <w:rsid w:val="00807469"/>
    <w:rsid w:val="00807CDD"/>
    <w:rsid w:val="0081013E"/>
    <w:rsid w:val="00811444"/>
    <w:rsid w:val="008116FD"/>
    <w:rsid w:val="0081774C"/>
    <w:rsid w:val="00820689"/>
    <w:rsid w:val="008236AF"/>
    <w:rsid w:val="0082532B"/>
    <w:rsid w:val="008271A8"/>
    <w:rsid w:val="00830489"/>
    <w:rsid w:val="008328C4"/>
    <w:rsid w:val="00832E69"/>
    <w:rsid w:val="008333C5"/>
    <w:rsid w:val="008340CA"/>
    <w:rsid w:val="008369B0"/>
    <w:rsid w:val="00841C74"/>
    <w:rsid w:val="0085052A"/>
    <w:rsid w:val="00853CE3"/>
    <w:rsid w:val="00854205"/>
    <w:rsid w:val="008565FB"/>
    <w:rsid w:val="0086090E"/>
    <w:rsid w:val="008632E5"/>
    <w:rsid w:val="008665F0"/>
    <w:rsid w:val="00867657"/>
    <w:rsid w:val="00867F85"/>
    <w:rsid w:val="0087151B"/>
    <w:rsid w:val="00873540"/>
    <w:rsid w:val="00873DF8"/>
    <w:rsid w:val="008744E0"/>
    <w:rsid w:val="008752FA"/>
    <w:rsid w:val="008778C5"/>
    <w:rsid w:val="0088090F"/>
    <w:rsid w:val="0088187D"/>
    <w:rsid w:val="0088197D"/>
    <w:rsid w:val="00884BB2"/>
    <w:rsid w:val="0088760F"/>
    <w:rsid w:val="0088770C"/>
    <w:rsid w:val="00887FDE"/>
    <w:rsid w:val="00890B1B"/>
    <w:rsid w:val="0089540B"/>
    <w:rsid w:val="00897303"/>
    <w:rsid w:val="00897B72"/>
    <w:rsid w:val="008A11C6"/>
    <w:rsid w:val="008A199A"/>
    <w:rsid w:val="008A34B0"/>
    <w:rsid w:val="008A61A1"/>
    <w:rsid w:val="008A6AFF"/>
    <w:rsid w:val="008A7553"/>
    <w:rsid w:val="008B5634"/>
    <w:rsid w:val="008B7C53"/>
    <w:rsid w:val="008C370B"/>
    <w:rsid w:val="008D0B80"/>
    <w:rsid w:val="008D0CDB"/>
    <w:rsid w:val="008D105E"/>
    <w:rsid w:val="008D2624"/>
    <w:rsid w:val="008D5ACB"/>
    <w:rsid w:val="008D61AD"/>
    <w:rsid w:val="008D7F42"/>
    <w:rsid w:val="008E315C"/>
    <w:rsid w:val="008E3A28"/>
    <w:rsid w:val="008E4C48"/>
    <w:rsid w:val="008E4CBC"/>
    <w:rsid w:val="008F7784"/>
    <w:rsid w:val="00903F35"/>
    <w:rsid w:val="00904FEB"/>
    <w:rsid w:val="00912642"/>
    <w:rsid w:val="009147BE"/>
    <w:rsid w:val="00916302"/>
    <w:rsid w:val="009166E9"/>
    <w:rsid w:val="00916C12"/>
    <w:rsid w:val="0092078B"/>
    <w:rsid w:val="00921E35"/>
    <w:rsid w:val="0092337F"/>
    <w:rsid w:val="0092513F"/>
    <w:rsid w:val="009258F0"/>
    <w:rsid w:val="009267B7"/>
    <w:rsid w:val="009274CB"/>
    <w:rsid w:val="0092765D"/>
    <w:rsid w:val="00931F6B"/>
    <w:rsid w:val="00931F7B"/>
    <w:rsid w:val="00934DE5"/>
    <w:rsid w:val="00935D37"/>
    <w:rsid w:val="009379EA"/>
    <w:rsid w:val="00940B63"/>
    <w:rsid w:val="009426D5"/>
    <w:rsid w:val="0094571C"/>
    <w:rsid w:val="00950F2B"/>
    <w:rsid w:val="00952261"/>
    <w:rsid w:val="009540FD"/>
    <w:rsid w:val="0095530E"/>
    <w:rsid w:val="00955395"/>
    <w:rsid w:val="009607AD"/>
    <w:rsid w:val="00964076"/>
    <w:rsid w:val="0096536E"/>
    <w:rsid w:val="009704E4"/>
    <w:rsid w:val="009734CB"/>
    <w:rsid w:val="00973E3C"/>
    <w:rsid w:val="00975757"/>
    <w:rsid w:val="009812E2"/>
    <w:rsid w:val="0098455F"/>
    <w:rsid w:val="0098460D"/>
    <w:rsid w:val="00991BC4"/>
    <w:rsid w:val="00992B5B"/>
    <w:rsid w:val="00992B85"/>
    <w:rsid w:val="00994C89"/>
    <w:rsid w:val="00997F9B"/>
    <w:rsid w:val="009A05AC"/>
    <w:rsid w:val="009A091A"/>
    <w:rsid w:val="009A198A"/>
    <w:rsid w:val="009A1A6E"/>
    <w:rsid w:val="009A37BF"/>
    <w:rsid w:val="009A4E0D"/>
    <w:rsid w:val="009A546C"/>
    <w:rsid w:val="009A549C"/>
    <w:rsid w:val="009A5BE1"/>
    <w:rsid w:val="009A6DAB"/>
    <w:rsid w:val="009B19ED"/>
    <w:rsid w:val="009B2967"/>
    <w:rsid w:val="009B2C9D"/>
    <w:rsid w:val="009B5F20"/>
    <w:rsid w:val="009B69CE"/>
    <w:rsid w:val="009B72B5"/>
    <w:rsid w:val="009B7606"/>
    <w:rsid w:val="009C01CB"/>
    <w:rsid w:val="009C265D"/>
    <w:rsid w:val="009C2896"/>
    <w:rsid w:val="009C2EC9"/>
    <w:rsid w:val="009D6B6C"/>
    <w:rsid w:val="009D6D10"/>
    <w:rsid w:val="009D6E6A"/>
    <w:rsid w:val="009D6F8E"/>
    <w:rsid w:val="009E2B70"/>
    <w:rsid w:val="009E554F"/>
    <w:rsid w:val="009E5D7C"/>
    <w:rsid w:val="009E6DCA"/>
    <w:rsid w:val="009F0585"/>
    <w:rsid w:val="009F36A6"/>
    <w:rsid w:val="009F4A81"/>
    <w:rsid w:val="00A02C54"/>
    <w:rsid w:val="00A04597"/>
    <w:rsid w:val="00A06AD5"/>
    <w:rsid w:val="00A104BE"/>
    <w:rsid w:val="00A13895"/>
    <w:rsid w:val="00A13D42"/>
    <w:rsid w:val="00A1470E"/>
    <w:rsid w:val="00A14A09"/>
    <w:rsid w:val="00A14B27"/>
    <w:rsid w:val="00A2553B"/>
    <w:rsid w:val="00A2775E"/>
    <w:rsid w:val="00A37978"/>
    <w:rsid w:val="00A37C1D"/>
    <w:rsid w:val="00A41F02"/>
    <w:rsid w:val="00A44976"/>
    <w:rsid w:val="00A46554"/>
    <w:rsid w:val="00A477B1"/>
    <w:rsid w:val="00A50AC4"/>
    <w:rsid w:val="00A53BDA"/>
    <w:rsid w:val="00A63F94"/>
    <w:rsid w:val="00A676BA"/>
    <w:rsid w:val="00A715FB"/>
    <w:rsid w:val="00A73B15"/>
    <w:rsid w:val="00A74AB9"/>
    <w:rsid w:val="00A752BA"/>
    <w:rsid w:val="00A77793"/>
    <w:rsid w:val="00A81EA4"/>
    <w:rsid w:val="00A8559B"/>
    <w:rsid w:val="00A86374"/>
    <w:rsid w:val="00A869B9"/>
    <w:rsid w:val="00A90739"/>
    <w:rsid w:val="00A90D0B"/>
    <w:rsid w:val="00A934F3"/>
    <w:rsid w:val="00A94036"/>
    <w:rsid w:val="00A95152"/>
    <w:rsid w:val="00A9658F"/>
    <w:rsid w:val="00A97466"/>
    <w:rsid w:val="00A976D2"/>
    <w:rsid w:val="00AA069C"/>
    <w:rsid w:val="00AA0827"/>
    <w:rsid w:val="00AA0BF2"/>
    <w:rsid w:val="00AA24E9"/>
    <w:rsid w:val="00AA3859"/>
    <w:rsid w:val="00AA461B"/>
    <w:rsid w:val="00AA4D46"/>
    <w:rsid w:val="00AA691A"/>
    <w:rsid w:val="00AA6EEF"/>
    <w:rsid w:val="00AA70E9"/>
    <w:rsid w:val="00AA7A64"/>
    <w:rsid w:val="00AB40BC"/>
    <w:rsid w:val="00AB61DB"/>
    <w:rsid w:val="00AC21D2"/>
    <w:rsid w:val="00AC4F0E"/>
    <w:rsid w:val="00AE1E18"/>
    <w:rsid w:val="00AE262B"/>
    <w:rsid w:val="00AE409F"/>
    <w:rsid w:val="00AE620A"/>
    <w:rsid w:val="00AF1790"/>
    <w:rsid w:val="00AF2B34"/>
    <w:rsid w:val="00AF2B5A"/>
    <w:rsid w:val="00AF3829"/>
    <w:rsid w:val="00AF7813"/>
    <w:rsid w:val="00AF7EB7"/>
    <w:rsid w:val="00B1071A"/>
    <w:rsid w:val="00B11551"/>
    <w:rsid w:val="00B12171"/>
    <w:rsid w:val="00B1401F"/>
    <w:rsid w:val="00B14F02"/>
    <w:rsid w:val="00B16330"/>
    <w:rsid w:val="00B16A2B"/>
    <w:rsid w:val="00B24252"/>
    <w:rsid w:val="00B244C1"/>
    <w:rsid w:val="00B266F0"/>
    <w:rsid w:val="00B27718"/>
    <w:rsid w:val="00B316CF"/>
    <w:rsid w:val="00B33722"/>
    <w:rsid w:val="00B37C68"/>
    <w:rsid w:val="00B45B66"/>
    <w:rsid w:val="00B5141A"/>
    <w:rsid w:val="00B527DB"/>
    <w:rsid w:val="00B53780"/>
    <w:rsid w:val="00B53C24"/>
    <w:rsid w:val="00B565B0"/>
    <w:rsid w:val="00B569C5"/>
    <w:rsid w:val="00B62B19"/>
    <w:rsid w:val="00B633B3"/>
    <w:rsid w:val="00B64DC0"/>
    <w:rsid w:val="00B65C69"/>
    <w:rsid w:val="00B66B47"/>
    <w:rsid w:val="00B70805"/>
    <w:rsid w:val="00B7228E"/>
    <w:rsid w:val="00B7520C"/>
    <w:rsid w:val="00B7550E"/>
    <w:rsid w:val="00B75FA4"/>
    <w:rsid w:val="00B7614B"/>
    <w:rsid w:val="00B807A2"/>
    <w:rsid w:val="00B83922"/>
    <w:rsid w:val="00B92F30"/>
    <w:rsid w:val="00B93EF1"/>
    <w:rsid w:val="00B95990"/>
    <w:rsid w:val="00BA0558"/>
    <w:rsid w:val="00BA1A53"/>
    <w:rsid w:val="00BA331D"/>
    <w:rsid w:val="00BA3E8F"/>
    <w:rsid w:val="00BA712B"/>
    <w:rsid w:val="00BA73B5"/>
    <w:rsid w:val="00BB0845"/>
    <w:rsid w:val="00BB3FBB"/>
    <w:rsid w:val="00BC2D71"/>
    <w:rsid w:val="00BC3185"/>
    <w:rsid w:val="00BC4547"/>
    <w:rsid w:val="00BC4D83"/>
    <w:rsid w:val="00BC5D70"/>
    <w:rsid w:val="00BD2192"/>
    <w:rsid w:val="00BD6178"/>
    <w:rsid w:val="00BD6C98"/>
    <w:rsid w:val="00BE1D7A"/>
    <w:rsid w:val="00BE2CAF"/>
    <w:rsid w:val="00BF0C62"/>
    <w:rsid w:val="00BF1E58"/>
    <w:rsid w:val="00BF4F7B"/>
    <w:rsid w:val="00C00BF1"/>
    <w:rsid w:val="00C0152F"/>
    <w:rsid w:val="00C02B5C"/>
    <w:rsid w:val="00C061C8"/>
    <w:rsid w:val="00C07E4A"/>
    <w:rsid w:val="00C11273"/>
    <w:rsid w:val="00C1145A"/>
    <w:rsid w:val="00C12125"/>
    <w:rsid w:val="00C15870"/>
    <w:rsid w:val="00C232D2"/>
    <w:rsid w:val="00C23779"/>
    <w:rsid w:val="00C2493B"/>
    <w:rsid w:val="00C30630"/>
    <w:rsid w:val="00C34467"/>
    <w:rsid w:val="00C37BA4"/>
    <w:rsid w:val="00C406D9"/>
    <w:rsid w:val="00C41131"/>
    <w:rsid w:val="00C434A8"/>
    <w:rsid w:val="00C43D40"/>
    <w:rsid w:val="00C444E9"/>
    <w:rsid w:val="00C52BED"/>
    <w:rsid w:val="00C535C8"/>
    <w:rsid w:val="00C5444D"/>
    <w:rsid w:val="00C63250"/>
    <w:rsid w:val="00C6327F"/>
    <w:rsid w:val="00C654FC"/>
    <w:rsid w:val="00C70BE2"/>
    <w:rsid w:val="00C72501"/>
    <w:rsid w:val="00C7427F"/>
    <w:rsid w:val="00C7528E"/>
    <w:rsid w:val="00C757D5"/>
    <w:rsid w:val="00C90E45"/>
    <w:rsid w:val="00C92433"/>
    <w:rsid w:val="00C9549E"/>
    <w:rsid w:val="00C97E17"/>
    <w:rsid w:val="00CA0D1E"/>
    <w:rsid w:val="00CA5129"/>
    <w:rsid w:val="00CA5167"/>
    <w:rsid w:val="00CB4397"/>
    <w:rsid w:val="00CC0C53"/>
    <w:rsid w:val="00CC32E4"/>
    <w:rsid w:val="00CC41DA"/>
    <w:rsid w:val="00CC7ADC"/>
    <w:rsid w:val="00CD0B35"/>
    <w:rsid w:val="00CD0B5D"/>
    <w:rsid w:val="00CD0CE7"/>
    <w:rsid w:val="00CD15AF"/>
    <w:rsid w:val="00CD1940"/>
    <w:rsid w:val="00CD36E8"/>
    <w:rsid w:val="00CD422E"/>
    <w:rsid w:val="00CD4367"/>
    <w:rsid w:val="00CD7088"/>
    <w:rsid w:val="00CD7224"/>
    <w:rsid w:val="00CE14AB"/>
    <w:rsid w:val="00CE1710"/>
    <w:rsid w:val="00CE2656"/>
    <w:rsid w:val="00CE4D19"/>
    <w:rsid w:val="00CF0F86"/>
    <w:rsid w:val="00CF7250"/>
    <w:rsid w:val="00D009B6"/>
    <w:rsid w:val="00D01249"/>
    <w:rsid w:val="00D0599A"/>
    <w:rsid w:val="00D07A8C"/>
    <w:rsid w:val="00D10641"/>
    <w:rsid w:val="00D130B7"/>
    <w:rsid w:val="00D20D9E"/>
    <w:rsid w:val="00D225DB"/>
    <w:rsid w:val="00D22D4E"/>
    <w:rsid w:val="00D231A0"/>
    <w:rsid w:val="00D24827"/>
    <w:rsid w:val="00D24FA3"/>
    <w:rsid w:val="00D303AC"/>
    <w:rsid w:val="00D30CCC"/>
    <w:rsid w:val="00D31D98"/>
    <w:rsid w:val="00D322F5"/>
    <w:rsid w:val="00D33983"/>
    <w:rsid w:val="00D34163"/>
    <w:rsid w:val="00D363DE"/>
    <w:rsid w:val="00D36A6A"/>
    <w:rsid w:val="00D37B88"/>
    <w:rsid w:val="00D5333E"/>
    <w:rsid w:val="00D5350D"/>
    <w:rsid w:val="00D53E58"/>
    <w:rsid w:val="00D60DD3"/>
    <w:rsid w:val="00D642D8"/>
    <w:rsid w:val="00D64846"/>
    <w:rsid w:val="00D64854"/>
    <w:rsid w:val="00D72DD7"/>
    <w:rsid w:val="00D73D24"/>
    <w:rsid w:val="00D75A65"/>
    <w:rsid w:val="00D7711F"/>
    <w:rsid w:val="00D77EF8"/>
    <w:rsid w:val="00D80BD7"/>
    <w:rsid w:val="00D86C0D"/>
    <w:rsid w:val="00D94998"/>
    <w:rsid w:val="00D94D50"/>
    <w:rsid w:val="00D96DDA"/>
    <w:rsid w:val="00D970A7"/>
    <w:rsid w:val="00DA2838"/>
    <w:rsid w:val="00DA2AA4"/>
    <w:rsid w:val="00DA39BA"/>
    <w:rsid w:val="00DA5ECA"/>
    <w:rsid w:val="00DA626B"/>
    <w:rsid w:val="00DB1810"/>
    <w:rsid w:val="00DC0762"/>
    <w:rsid w:val="00DC0FCC"/>
    <w:rsid w:val="00DC6B89"/>
    <w:rsid w:val="00DC7700"/>
    <w:rsid w:val="00DD4DF2"/>
    <w:rsid w:val="00DD4F56"/>
    <w:rsid w:val="00DD5B60"/>
    <w:rsid w:val="00DD69CF"/>
    <w:rsid w:val="00DE15F2"/>
    <w:rsid w:val="00DE3D5C"/>
    <w:rsid w:val="00DE3F36"/>
    <w:rsid w:val="00DE5AF8"/>
    <w:rsid w:val="00DE5BD8"/>
    <w:rsid w:val="00DE7239"/>
    <w:rsid w:val="00DE7CDD"/>
    <w:rsid w:val="00DE7F07"/>
    <w:rsid w:val="00DF1152"/>
    <w:rsid w:val="00DF5FBA"/>
    <w:rsid w:val="00DF6D65"/>
    <w:rsid w:val="00DF7296"/>
    <w:rsid w:val="00E01528"/>
    <w:rsid w:val="00E14E59"/>
    <w:rsid w:val="00E16DDB"/>
    <w:rsid w:val="00E1751C"/>
    <w:rsid w:val="00E17ECC"/>
    <w:rsid w:val="00E27CB7"/>
    <w:rsid w:val="00E305AE"/>
    <w:rsid w:val="00E3101C"/>
    <w:rsid w:val="00E33C34"/>
    <w:rsid w:val="00E34E60"/>
    <w:rsid w:val="00E3566F"/>
    <w:rsid w:val="00E40BE9"/>
    <w:rsid w:val="00E4163D"/>
    <w:rsid w:val="00E45DAA"/>
    <w:rsid w:val="00E51277"/>
    <w:rsid w:val="00E5448A"/>
    <w:rsid w:val="00E54A10"/>
    <w:rsid w:val="00E56F4A"/>
    <w:rsid w:val="00E57BB8"/>
    <w:rsid w:val="00E60E6E"/>
    <w:rsid w:val="00E60EF6"/>
    <w:rsid w:val="00E62F1E"/>
    <w:rsid w:val="00E63C55"/>
    <w:rsid w:val="00E64C35"/>
    <w:rsid w:val="00E65F2E"/>
    <w:rsid w:val="00E6608E"/>
    <w:rsid w:val="00E75CF3"/>
    <w:rsid w:val="00E75F99"/>
    <w:rsid w:val="00E84239"/>
    <w:rsid w:val="00E84DC1"/>
    <w:rsid w:val="00E85859"/>
    <w:rsid w:val="00E9144B"/>
    <w:rsid w:val="00EA07F2"/>
    <w:rsid w:val="00EA11DD"/>
    <w:rsid w:val="00EA5CFD"/>
    <w:rsid w:val="00EA6E15"/>
    <w:rsid w:val="00EB250C"/>
    <w:rsid w:val="00EB4553"/>
    <w:rsid w:val="00EC19AE"/>
    <w:rsid w:val="00EC7B91"/>
    <w:rsid w:val="00ED5158"/>
    <w:rsid w:val="00ED551A"/>
    <w:rsid w:val="00ED5AC1"/>
    <w:rsid w:val="00ED6EA4"/>
    <w:rsid w:val="00ED7A4B"/>
    <w:rsid w:val="00EE1AD9"/>
    <w:rsid w:val="00EE4F2C"/>
    <w:rsid w:val="00EE75E3"/>
    <w:rsid w:val="00EF3177"/>
    <w:rsid w:val="00EF3F46"/>
    <w:rsid w:val="00EF5B8B"/>
    <w:rsid w:val="00F01FCB"/>
    <w:rsid w:val="00F044E8"/>
    <w:rsid w:val="00F04780"/>
    <w:rsid w:val="00F047BB"/>
    <w:rsid w:val="00F04FB5"/>
    <w:rsid w:val="00F078B0"/>
    <w:rsid w:val="00F07C3F"/>
    <w:rsid w:val="00F07E70"/>
    <w:rsid w:val="00F119D2"/>
    <w:rsid w:val="00F12EF7"/>
    <w:rsid w:val="00F139B7"/>
    <w:rsid w:val="00F15523"/>
    <w:rsid w:val="00F167A6"/>
    <w:rsid w:val="00F16D0C"/>
    <w:rsid w:val="00F17BD9"/>
    <w:rsid w:val="00F2067D"/>
    <w:rsid w:val="00F20CB0"/>
    <w:rsid w:val="00F213FF"/>
    <w:rsid w:val="00F22E4D"/>
    <w:rsid w:val="00F2550D"/>
    <w:rsid w:val="00F331B5"/>
    <w:rsid w:val="00F331D5"/>
    <w:rsid w:val="00F373A2"/>
    <w:rsid w:val="00F4021A"/>
    <w:rsid w:val="00F42505"/>
    <w:rsid w:val="00F54FA6"/>
    <w:rsid w:val="00F55179"/>
    <w:rsid w:val="00F57768"/>
    <w:rsid w:val="00F577DC"/>
    <w:rsid w:val="00F60C8C"/>
    <w:rsid w:val="00F62A70"/>
    <w:rsid w:val="00F656E0"/>
    <w:rsid w:val="00F67EF7"/>
    <w:rsid w:val="00F731E0"/>
    <w:rsid w:val="00F74591"/>
    <w:rsid w:val="00F74610"/>
    <w:rsid w:val="00F74A03"/>
    <w:rsid w:val="00F81AF4"/>
    <w:rsid w:val="00F82165"/>
    <w:rsid w:val="00F83280"/>
    <w:rsid w:val="00F855DC"/>
    <w:rsid w:val="00F86DA8"/>
    <w:rsid w:val="00F9063C"/>
    <w:rsid w:val="00F91F8C"/>
    <w:rsid w:val="00F924F2"/>
    <w:rsid w:val="00F94DD4"/>
    <w:rsid w:val="00F95A2C"/>
    <w:rsid w:val="00F97197"/>
    <w:rsid w:val="00F97AE6"/>
    <w:rsid w:val="00FA3FA4"/>
    <w:rsid w:val="00FA78F9"/>
    <w:rsid w:val="00FB0CAD"/>
    <w:rsid w:val="00FB1B85"/>
    <w:rsid w:val="00FB6516"/>
    <w:rsid w:val="00FB78C5"/>
    <w:rsid w:val="00FC4564"/>
    <w:rsid w:val="00FC59FF"/>
    <w:rsid w:val="00FC5BAD"/>
    <w:rsid w:val="00FC6BC2"/>
    <w:rsid w:val="00FD70DE"/>
    <w:rsid w:val="00FD7CB3"/>
    <w:rsid w:val="00FE0FD8"/>
    <w:rsid w:val="00FE5D40"/>
    <w:rsid w:val="00FE782D"/>
    <w:rsid w:val="00FE7DE8"/>
    <w:rsid w:val="00FF5AE5"/>
    <w:rsid w:val="00FF7834"/>
    <w:rsid w:val="00FF7A19"/>
    <w:rsid w:val="00FF7D36"/>
    <w:rsid w:val="20783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32D2"/>
    <w:rPr>
      <w:sz w:val="18"/>
      <w:szCs w:val="18"/>
    </w:rPr>
  </w:style>
  <w:style w:type="paragraph" w:styleId="a4">
    <w:name w:val="footer"/>
    <w:basedOn w:val="a"/>
    <w:link w:val="Char0"/>
    <w:uiPriority w:val="99"/>
    <w:unhideWhenUsed/>
    <w:qFormat/>
    <w:rsid w:val="00C232D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232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232D2"/>
    <w:rPr>
      <w:sz w:val="18"/>
      <w:szCs w:val="18"/>
    </w:rPr>
  </w:style>
  <w:style w:type="character" w:customStyle="1" w:styleId="Char">
    <w:name w:val="批注框文本 Char"/>
    <w:basedOn w:val="a0"/>
    <w:link w:val="a3"/>
    <w:uiPriority w:val="99"/>
    <w:semiHidden/>
    <w:qFormat/>
    <w:rsid w:val="00C232D2"/>
    <w:rPr>
      <w:sz w:val="18"/>
      <w:szCs w:val="18"/>
    </w:rPr>
  </w:style>
  <w:style w:type="character" w:customStyle="1" w:styleId="Char0">
    <w:name w:val="页脚 Char"/>
    <w:basedOn w:val="a0"/>
    <w:link w:val="a4"/>
    <w:uiPriority w:val="99"/>
    <w:qFormat/>
    <w:rsid w:val="00C232D2"/>
    <w:rPr>
      <w:sz w:val="18"/>
      <w:szCs w:val="18"/>
    </w:rPr>
  </w:style>
  <w:style w:type="paragraph" w:styleId="a6">
    <w:name w:val="No Spacing"/>
    <w:link w:val="Char2"/>
    <w:uiPriority w:val="1"/>
    <w:qFormat/>
    <w:rsid w:val="00C232D2"/>
    <w:rPr>
      <w:rFonts w:asciiTheme="minorHAnsi" w:eastAsiaTheme="minorEastAsia" w:hAnsiTheme="minorHAnsi" w:cstheme="minorBidi"/>
      <w:sz w:val="22"/>
      <w:szCs w:val="22"/>
    </w:rPr>
  </w:style>
  <w:style w:type="character" w:customStyle="1" w:styleId="Char2">
    <w:name w:val="无间隔 Char"/>
    <w:basedOn w:val="a0"/>
    <w:link w:val="a6"/>
    <w:uiPriority w:val="1"/>
    <w:qFormat/>
    <w:rsid w:val="00C232D2"/>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D65B-B120-4AC1-B329-5F32CD49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许凯佳</dc:creator>
  <cp:lastModifiedBy>Windows 用户</cp:lastModifiedBy>
  <cp:revision>17</cp:revision>
  <dcterms:created xsi:type="dcterms:W3CDTF">2024-04-25T06:57:00Z</dcterms:created>
  <dcterms:modified xsi:type="dcterms:W3CDTF">2024-10-31T03:46:00Z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6BA27676613C478E8DE6A3F97EC39FD9_12</vt:lpwstr>
  </property>
</Properties>
</file>